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31E0A" w14:textId="7F9651BB" w:rsidR="003753C2" w:rsidRPr="00993C92" w:rsidRDefault="003753C2" w:rsidP="000934DC">
      <w:pPr>
        <w:pStyle w:val="Heading1"/>
        <w:spacing w:before="0" w:after="120" w:line="257" w:lineRule="auto"/>
        <w:rPr>
          <w:color w:val="000000" w:themeColor="text1"/>
        </w:rPr>
      </w:pPr>
      <w:r w:rsidRPr="00993C92">
        <w:rPr>
          <w:color w:val="000000" w:themeColor="text1"/>
        </w:rPr>
        <w:t>Title</w:t>
      </w:r>
    </w:p>
    <w:p w14:paraId="7D45A1B9" w14:textId="1BB0A373" w:rsidR="005F0915" w:rsidRPr="00993C92" w:rsidRDefault="005F0915" w:rsidP="005F0915">
      <w:pPr>
        <w:rPr>
          <w:rFonts w:cstheme="minorHAnsi"/>
        </w:rPr>
      </w:pPr>
      <w:r w:rsidRPr="00993C92">
        <w:rPr>
          <w:rFonts w:eastAsia="Times New Roman" w:cstheme="minorHAnsi"/>
          <w:color w:val="333333"/>
        </w:rPr>
        <w:t xml:space="preserve">Allergenic food protein consumption is associated with systemic IgG antibody responses in </w:t>
      </w:r>
      <w:r w:rsidR="005662F7" w:rsidRPr="00993C92">
        <w:rPr>
          <w:rFonts w:eastAsia="Times New Roman" w:cstheme="minorHAnsi"/>
          <w:color w:val="333333"/>
        </w:rPr>
        <w:t>non-allergic individuals</w:t>
      </w:r>
    </w:p>
    <w:p w14:paraId="6AE774C7" w14:textId="636B2F5F" w:rsidR="0015145A" w:rsidRPr="00993C92" w:rsidRDefault="0015145A" w:rsidP="000934DC">
      <w:pPr>
        <w:pStyle w:val="Heading1"/>
        <w:spacing w:before="0" w:after="120" w:line="257" w:lineRule="auto"/>
        <w:rPr>
          <w:color w:val="000000" w:themeColor="text1"/>
        </w:rPr>
      </w:pPr>
      <w:r w:rsidRPr="00993C92">
        <w:rPr>
          <w:color w:val="000000" w:themeColor="text1"/>
        </w:rPr>
        <w:t>Authors</w:t>
      </w:r>
    </w:p>
    <w:p w14:paraId="002A8B76" w14:textId="6CDDD4DC" w:rsidR="0015145A" w:rsidRPr="00993C92" w:rsidRDefault="0015145A" w:rsidP="0015145A">
      <w:pPr>
        <w:spacing w:after="0"/>
        <w:rPr>
          <w:color w:val="000000" w:themeColor="text1"/>
        </w:rPr>
      </w:pPr>
      <w:r w:rsidRPr="00993C92">
        <w:rPr>
          <w:color w:val="000000" w:themeColor="text1"/>
        </w:rPr>
        <w:t xml:space="preserve">Sigal </w:t>
      </w:r>
      <w:bookmarkStart w:id="0" w:name="_Hlk117692330"/>
      <w:r w:rsidRPr="00993C92">
        <w:rPr>
          <w:color w:val="000000" w:themeColor="text1"/>
        </w:rPr>
        <w:t>Leviatan</w:t>
      </w:r>
      <w:bookmarkEnd w:id="0"/>
      <w:r w:rsidRPr="00993C92">
        <w:rPr>
          <w:color w:val="000000" w:themeColor="text1"/>
          <w:vertAlign w:val="superscript"/>
        </w:rPr>
        <w:t>1,2</w:t>
      </w:r>
      <w:r w:rsidRPr="00993C92">
        <w:rPr>
          <w:i/>
          <w:iCs/>
          <w:color w:val="000000" w:themeColor="text1"/>
          <w:vertAlign w:val="superscript"/>
        </w:rPr>
        <w:t>#</w:t>
      </w:r>
      <w:r w:rsidRPr="00993C92">
        <w:rPr>
          <w:color w:val="000000" w:themeColor="text1"/>
        </w:rPr>
        <w:t>, Thomas Vogl</w:t>
      </w:r>
      <w:r w:rsidRPr="00993C92">
        <w:rPr>
          <w:color w:val="000000" w:themeColor="text1"/>
          <w:vertAlign w:val="superscript"/>
        </w:rPr>
        <w:t>1,2,3</w:t>
      </w:r>
      <w:r w:rsidR="00441E08" w:rsidRPr="00993C92">
        <w:rPr>
          <w:color w:val="000000" w:themeColor="text1"/>
          <w:vertAlign w:val="superscript"/>
        </w:rPr>
        <w:t>,4</w:t>
      </w:r>
      <w:r w:rsidRPr="00993C92">
        <w:rPr>
          <w:i/>
          <w:iCs/>
          <w:color w:val="000000" w:themeColor="text1"/>
          <w:vertAlign w:val="superscript"/>
        </w:rPr>
        <w:t>#</w:t>
      </w:r>
      <w:r w:rsidR="00F55955" w:rsidRPr="00993C92">
        <w:rPr>
          <w:color w:val="000000" w:themeColor="text1"/>
        </w:rPr>
        <w:t>*</w:t>
      </w:r>
      <w:r w:rsidRPr="00993C92">
        <w:rPr>
          <w:color w:val="000000" w:themeColor="text1"/>
        </w:rPr>
        <w:t>, Shelley Klompus</w:t>
      </w:r>
      <w:r w:rsidRPr="00993C92">
        <w:rPr>
          <w:color w:val="000000" w:themeColor="text1"/>
          <w:vertAlign w:val="superscript"/>
        </w:rPr>
        <w:t>1,2</w:t>
      </w:r>
      <w:r w:rsidRPr="00993C92">
        <w:rPr>
          <w:i/>
          <w:iCs/>
          <w:color w:val="000000" w:themeColor="text1"/>
          <w:vertAlign w:val="superscript"/>
        </w:rPr>
        <w:t>#</w:t>
      </w:r>
      <w:r w:rsidRPr="00993C92">
        <w:rPr>
          <w:color w:val="000000" w:themeColor="text1"/>
        </w:rPr>
        <w:t>, Iris N. Kalka</w:t>
      </w:r>
      <w:r w:rsidRPr="00993C92">
        <w:rPr>
          <w:color w:val="000000" w:themeColor="text1"/>
          <w:vertAlign w:val="superscript"/>
        </w:rPr>
        <w:t>1,2</w:t>
      </w:r>
      <w:r w:rsidRPr="00993C92">
        <w:rPr>
          <w:i/>
          <w:iCs/>
          <w:color w:val="000000" w:themeColor="text1"/>
          <w:vertAlign w:val="superscript"/>
        </w:rPr>
        <w:t>#</w:t>
      </w:r>
      <w:r w:rsidRPr="00993C92">
        <w:rPr>
          <w:color w:val="000000" w:themeColor="text1"/>
        </w:rPr>
        <w:t>, Adina Weinberger</w:t>
      </w:r>
      <w:r w:rsidRPr="00993C92">
        <w:rPr>
          <w:color w:val="000000" w:themeColor="text1"/>
          <w:vertAlign w:val="superscript"/>
        </w:rPr>
        <w:t>1,2</w:t>
      </w:r>
      <w:r w:rsidRPr="00993C92">
        <w:rPr>
          <w:color w:val="000000" w:themeColor="text1"/>
        </w:rPr>
        <w:t>, Eran Segal</w:t>
      </w:r>
      <w:r w:rsidRPr="00993C92">
        <w:rPr>
          <w:color w:val="000000" w:themeColor="text1"/>
          <w:vertAlign w:val="superscript"/>
        </w:rPr>
        <w:t>1,2</w:t>
      </w:r>
      <w:r w:rsidRPr="00993C92">
        <w:rPr>
          <w:color w:val="000000" w:themeColor="text1"/>
        </w:rPr>
        <w:t>*</w:t>
      </w:r>
    </w:p>
    <w:p w14:paraId="7B34EE61" w14:textId="77777777" w:rsidR="0015145A" w:rsidRPr="00993C92" w:rsidRDefault="0015145A" w:rsidP="0015145A">
      <w:pPr>
        <w:spacing w:after="0"/>
        <w:rPr>
          <w:color w:val="000000" w:themeColor="text1"/>
        </w:rPr>
      </w:pPr>
    </w:p>
    <w:p w14:paraId="38A9E824" w14:textId="202B8AE7" w:rsidR="0015145A" w:rsidRPr="00993C92" w:rsidRDefault="0015145A" w:rsidP="0015145A">
      <w:pPr>
        <w:spacing w:after="0" w:line="240" w:lineRule="auto"/>
        <w:rPr>
          <w:color w:val="000000" w:themeColor="text1"/>
        </w:rPr>
      </w:pPr>
      <w:r w:rsidRPr="00993C92">
        <w:rPr>
          <w:color w:val="000000" w:themeColor="text1"/>
          <w:vertAlign w:val="superscript"/>
        </w:rPr>
        <w:t xml:space="preserve">1 </w:t>
      </w:r>
      <w:r w:rsidRPr="00993C92">
        <w:rPr>
          <w:color w:val="000000" w:themeColor="text1"/>
        </w:rPr>
        <w:t>Department of Computer Science and Applied Mathematics, Weizmann Institute of Science, Israel</w:t>
      </w:r>
    </w:p>
    <w:p w14:paraId="693B7A54" w14:textId="6A1419B8" w:rsidR="0015145A" w:rsidRPr="00993C92" w:rsidRDefault="0015145A" w:rsidP="0015145A">
      <w:pPr>
        <w:spacing w:after="0" w:line="240" w:lineRule="auto"/>
        <w:rPr>
          <w:color w:val="000000" w:themeColor="text1"/>
        </w:rPr>
      </w:pPr>
      <w:r w:rsidRPr="00993C92">
        <w:rPr>
          <w:color w:val="000000" w:themeColor="text1"/>
          <w:vertAlign w:val="superscript"/>
        </w:rPr>
        <w:t xml:space="preserve">2 </w:t>
      </w:r>
      <w:r w:rsidRPr="00993C92">
        <w:rPr>
          <w:color w:val="000000" w:themeColor="text1"/>
        </w:rPr>
        <w:t>Department of Molecular Cell Biology, Weizmann Institute of Science, Israel</w:t>
      </w:r>
    </w:p>
    <w:p w14:paraId="1CFBBA66" w14:textId="5F7F56BB" w:rsidR="0015145A" w:rsidRPr="00993C92" w:rsidRDefault="0015145A" w:rsidP="00F55955">
      <w:pPr>
        <w:spacing w:after="0" w:line="240" w:lineRule="auto"/>
        <w:rPr>
          <w:color w:val="000000" w:themeColor="text1"/>
        </w:rPr>
      </w:pPr>
      <w:r w:rsidRPr="00993C92">
        <w:rPr>
          <w:color w:val="000000" w:themeColor="text1"/>
          <w:vertAlign w:val="superscript"/>
        </w:rPr>
        <w:t xml:space="preserve">3 </w:t>
      </w:r>
      <w:r w:rsidR="00F55955" w:rsidRPr="00993C92">
        <w:rPr>
          <w:color w:val="000000" w:themeColor="text1"/>
        </w:rPr>
        <w:t xml:space="preserve">Diagnostic and Research Institute of Hygiene, Microbiology and Environmental Medicine, Medical University </w:t>
      </w:r>
      <w:r w:rsidR="00A15A6B" w:rsidRPr="00993C92">
        <w:rPr>
          <w:color w:val="000000" w:themeColor="text1"/>
        </w:rPr>
        <w:t xml:space="preserve">of </w:t>
      </w:r>
      <w:r w:rsidR="00F55955" w:rsidRPr="00993C92">
        <w:rPr>
          <w:color w:val="000000" w:themeColor="text1"/>
        </w:rPr>
        <w:t>Graz, Austria</w:t>
      </w:r>
    </w:p>
    <w:p w14:paraId="14817E76" w14:textId="23EED0AC" w:rsidR="00A15A6B" w:rsidRPr="00993C92" w:rsidRDefault="00A15A6B" w:rsidP="00A15A6B">
      <w:pPr>
        <w:spacing w:after="0" w:line="240" w:lineRule="auto"/>
        <w:rPr>
          <w:color w:val="000000" w:themeColor="text1"/>
        </w:rPr>
      </w:pPr>
      <w:r w:rsidRPr="00993C92">
        <w:rPr>
          <w:color w:val="000000" w:themeColor="text1"/>
          <w:vertAlign w:val="superscript"/>
        </w:rPr>
        <w:t xml:space="preserve">4 </w:t>
      </w:r>
      <w:r w:rsidRPr="00993C92">
        <w:rPr>
          <w:color w:val="000000" w:themeColor="text1"/>
        </w:rPr>
        <w:t>Center for Cancer Research, Medical University of Vienna, Austria</w:t>
      </w:r>
    </w:p>
    <w:p w14:paraId="2A0F1797" w14:textId="77777777" w:rsidR="00A15A6B" w:rsidRPr="00993C92" w:rsidRDefault="00A15A6B" w:rsidP="00F55955">
      <w:pPr>
        <w:spacing w:after="0" w:line="240" w:lineRule="auto"/>
        <w:rPr>
          <w:color w:val="000000" w:themeColor="text1"/>
        </w:rPr>
      </w:pPr>
    </w:p>
    <w:p w14:paraId="58AF058E" w14:textId="77777777" w:rsidR="00F55955" w:rsidRPr="00993C92" w:rsidRDefault="00F55955" w:rsidP="00F55955">
      <w:pPr>
        <w:spacing w:after="0"/>
        <w:rPr>
          <w:color w:val="000000" w:themeColor="text1"/>
        </w:rPr>
      </w:pPr>
      <w:r w:rsidRPr="00993C92">
        <w:rPr>
          <w:color w:val="000000" w:themeColor="text1"/>
          <w:vertAlign w:val="superscript"/>
        </w:rPr>
        <w:t>#</w:t>
      </w:r>
      <w:r w:rsidRPr="00993C92">
        <w:rPr>
          <w:color w:val="000000" w:themeColor="text1"/>
        </w:rPr>
        <w:t> Contributed equally</w:t>
      </w:r>
    </w:p>
    <w:p w14:paraId="4D750DB3" w14:textId="1A5DAFA3" w:rsidR="00F55955" w:rsidRPr="00993C92" w:rsidRDefault="00F55955" w:rsidP="000934DC">
      <w:pPr>
        <w:spacing w:after="120" w:line="257" w:lineRule="auto"/>
        <w:rPr>
          <w:color w:val="000000" w:themeColor="text1"/>
        </w:rPr>
      </w:pPr>
      <w:r w:rsidRPr="00993C92">
        <w:rPr>
          <w:color w:val="000000" w:themeColor="text1"/>
        </w:rPr>
        <w:t>* Corresponding authors: thomas.vogl@meduni</w:t>
      </w:r>
      <w:r w:rsidR="000D6753" w:rsidRPr="00993C92">
        <w:rPr>
          <w:color w:val="000000" w:themeColor="text1"/>
        </w:rPr>
        <w:t>wien.ac</w:t>
      </w:r>
      <w:r w:rsidRPr="00993C92">
        <w:rPr>
          <w:color w:val="000000" w:themeColor="text1"/>
        </w:rPr>
        <w:t xml:space="preserve">.at, </w:t>
      </w:r>
      <w:r w:rsidR="00325A37" w:rsidRPr="00993C92">
        <w:rPr>
          <w:color w:val="000000" w:themeColor="text1"/>
        </w:rPr>
        <w:t>eran.segal@weizmann.ac.il</w:t>
      </w:r>
    </w:p>
    <w:p w14:paraId="495B5633" w14:textId="62CCD54C" w:rsidR="00985A09" w:rsidRPr="00993C92" w:rsidRDefault="00985A09" w:rsidP="000934DC">
      <w:pPr>
        <w:spacing w:after="120" w:line="257" w:lineRule="auto"/>
        <w:rPr>
          <w:color w:val="000000" w:themeColor="text1"/>
        </w:rPr>
      </w:pPr>
      <w:r w:rsidRPr="00993C92">
        <w:rPr>
          <w:color w:val="000000" w:themeColor="text1"/>
        </w:rPr>
        <w:t>Lead contact</w:t>
      </w:r>
      <w:r w:rsidR="000D6753" w:rsidRPr="00993C92">
        <w:rPr>
          <w:color w:val="000000" w:themeColor="text1"/>
        </w:rPr>
        <w:t>: thomas.vogl@meduniwien.ac.at</w:t>
      </w:r>
    </w:p>
    <w:p w14:paraId="1DE037B6" w14:textId="77777777" w:rsidR="00F97700" w:rsidRPr="00993C92" w:rsidRDefault="00F97700" w:rsidP="000934DC">
      <w:pPr>
        <w:spacing w:after="120" w:line="257" w:lineRule="auto"/>
        <w:rPr>
          <w:color w:val="000000" w:themeColor="text1"/>
        </w:rPr>
      </w:pPr>
    </w:p>
    <w:p w14:paraId="2E94E9C0" w14:textId="1E55B1E6" w:rsidR="003753C2" w:rsidRPr="00993C92" w:rsidRDefault="003753C2" w:rsidP="000934DC">
      <w:pPr>
        <w:pStyle w:val="Heading1"/>
        <w:spacing w:before="0" w:after="120" w:line="257" w:lineRule="auto"/>
        <w:rPr>
          <w:color w:val="000000" w:themeColor="text1"/>
        </w:rPr>
      </w:pPr>
      <w:r w:rsidRPr="00993C92">
        <w:rPr>
          <w:color w:val="000000" w:themeColor="text1"/>
        </w:rPr>
        <w:t>Abstract</w:t>
      </w:r>
    </w:p>
    <w:p w14:paraId="2545D911" w14:textId="6DBBFED0" w:rsidR="005F0915" w:rsidRPr="00993C92" w:rsidRDefault="005F0915" w:rsidP="00B109E6">
      <w:pPr>
        <w:spacing w:after="0" w:line="257" w:lineRule="auto"/>
        <w:jc w:val="both"/>
        <w:rPr>
          <w:rFonts w:cstheme="minorHAnsi"/>
          <w:color w:val="000000" w:themeColor="text1"/>
        </w:rPr>
      </w:pPr>
      <w:bookmarkStart w:id="1" w:name="_Hlk112753977"/>
      <w:r w:rsidRPr="00993C92">
        <w:rPr>
          <w:rFonts w:cstheme="minorHAnsi"/>
          <w:color w:val="000000" w:themeColor="text1"/>
        </w:rPr>
        <w:t xml:space="preserve">While food directed </w:t>
      </w:r>
      <w:r w:rsidR="00E659D9" w:rsidRPr="00993C92">
        <w:rPr>
          <w:rFonts w:cstheme="minorHAnsi"/>
          <w:color w:val="000000" w:themeColor="text1"/>
        </w:rPr>
        <w:t>immunoglobulin E (</w:t>
      </w:r>
      <w:r w:rsidRPr="00993C92">
        <w:rPr>
          <w:rFonts w:cstheme="minorHAnsi"/>
          <w:color w:val="000000" w:themeColor="text1"/>
        </w:rPr>
        <w:t>IgE</w:t>
      </w:r>
      <w:r w:rsidR="00E659D9" w:rsidRPr="00993C92">
        <w:rPr>
          <w:rFonts w:cstheme="minorHAnsi"/>
          <w:color w:val="000000" w:themeColor="text1"/>
        </w:rPr>
        <w:t>)</w:t>
      </w:r>
      <w:r w:rsidRPr="00993C92">
        <w:rPr>
          <w:rFonts w:cstheme="minorHAnsi"/>
          <w:color w:val="000000" w:themeColor="text1"/>
        </w:rPr>
        <w:t xml:space="preserve"> has been studied in the context of allergies, the prevalence and magnitude of IgG responses against dietary antigens are incompletely characterized in the general population.</w:t>
      </w:r>
      <w:r w:rsidR="00E659D9" w:rsidRPr="00993C92">
        <w:rPr>
          <w:rFonts w:cstheme="minorHAnsi"/>
          <w:color w:val="000000" w:themeColor="text1"/>
        </w:rPr>
        <w:t xml:space="preserve"> </w:t>
      </w:r>
      <w:r w:rsidRPr="00993C92">
        <w:rPr>
          <w:rFonts w:cstheme="minorHAnsi"/>
          <w:color w:val="000000" w:themeColor="text1"/>
        </w:rPr>
        <w:t>Here, we measured IgG binding against food and environmental antigens obtained from allergen databases and the IEDB (immune epitope database), represented in a phage displayed library</w:t>
      </w:r>
      <w:r w:rsidR="00E659D9" w:rsidRPr="00993C92">
        <w:rPr>
          <w:rFonts w:cstheme="minorHAnsi"/>
          <w:color w:val="000000" w:themeColor="text1"/>
        </w:rPr>
        <w:t xml:space="preserve"> </w:t>
      </w:r>
      <w:r w:rsidRPr="00993C92">
        <w:rPr>
          <w:rFonts w:cstheme="minorHAnsi"/>
          <w:color w:val="000000" w:themeColor="text1"/>
        </w:rPr>
        <w:t>of 58,233 peptides. By profiling blood samples of a</w:t>
      </w:r>
      <w:r w:rsidR="004477E7" w:rsidRPr="00993C92">
        <w:rPr>
          <w:rFonts w:cstheme="minorHAnsi"/>
          <w:color w:val="000000" w:themeColor="text1"/>
        </w:rPr>
        <w:t xml:space="preserve"> large</w:t>
      </w:r>
      <w:r w:rsidRPr="00993C92">
        <w:rPr>
          <w:rFonts w:cstheme="minorHAnsi"/>
          <w:color w:val="000000" w:themeColor="text1"/>
        </w:rPr>
        <w:t xml:space="preserve"> cohort </w:t>
      </w:r>
      <w:r w:rsidR="004477E7" w:rsidRPr="00993C92">
        <w:rPr>
          <w:rFonts w:cstheme="minorHAnsi"/>
          <w:color w:val="000000" w:themeColor="text1"/>
        </w:rPr>
        <w:t xml:space="preserve">representing the </w:t>
      </w:r>
      <w:r w:rsidR="004477E7" w:rsidRPr="00993C92">
        <w:rPr>
          <w:color w:val="000000" w:themeColor="text1"/>
        </w:rPr>
        <w:t>average adult Israeli population</w:t>
      </w:r>
      <w:r w:rsidR="004477E7" w:rsidRPr="00993C92">
        <w:rPr>
          <w:rFonts w:cstheme="minorHAnsi"/>
          <w:color w:val="000000" w:themeColor="text1"/>
        </w:rPr>
        <w:t xml:space="preserve"> </w:t>
      </w:r>
      <w:r w:rsidRPr="00993C92">
        <w:rPr>
          <w:rFonts w:cstheme="minorHAnsi"/>
          <w:color w:val="000000" w:themeColor="text1"/>
        </w:rPr>
        <w:t>(n=1,003), we show</w:t>
      </w:r>
      <w:r w:rsidR="00E659D9" w:rsidRPr="00993C92">
        <w:rPr>
          <w:rFonts w:cstheme="minorHAnsi"/>
          <w:color w:val="000000" w:themeColor="text1"/>
        </w:rPr>
        <w:t>ed</w:t>
      </w:r>
      <w:r w:rsidRPr="00993C92">
        <w:rPr>
          <w:rFonts w:cstheme="minorHAnsi"/>
          <w:color w:val="000000" w:themeColor="text1"/>
        </w:rPr>
        <w:t xml:space="preserve"> that many food antigens elicit</w:t>
      </w:r>
      <w:r w:rsidR="00E659D9" w:rsidRPr="00993C92">
        <w:rPr>
          <w:rFonts w:cstheme="minorHAnsi"/>
          <w:color w:val="000000" w:themeColor="text1"/>
        </w:rPr>
        <w:t>ed</w:t>
      </w:r>
      <w:r w:rsidRPr="00993C92">
        <w:rPr>
          <w:rFonts w:cstheme="minorHAnsi"/>
          <w:color w:val="000000" w:themeColor="text1"/>
        </w:rPr>
        <w:t xml:space="preserve"> systemic IgG in up to 50% of individuals</w:t>
      </w:r>
      <w:bookmarkStart w:id="2" w:name="_Hlk117501320"/>
      <w:r w:rsidRPr="00993C92">
        <w:rPr>
          <w:rFonts w:cstheme="minorHAnsi"/>
          <w:color w:val="000000" w:themeColor="text1"/>
        </w:rPr>
        <w:t xml:space="preserve">. </w:t>
      </w:r>
      <w:bookmarkEnd w:id="2"/>
      <w:r w:rsidRPr="00993C92">
        <w:rPr>
          <w:rFonts w:cstheme="minorHAnsi"/>
          <w:color w:val="000000" w:themeColor="text1"/>
        </w:rPr>
        <w:t xml:space="preserve">Dietary intake of </w:t>
      </w:r>
      <w:r w:rsidR="00A2041D" w:rsidRPr="00993C92">
        <w:rPr>
          <w:rFonts w:cstheme="minorHAnsi"/>
          <w:color w:val="000000" w:themeColor="text1"/>
        </w:rPr>
        <w:t xml:space="preserve">specific food </w:t>
      </w:r>
      <w:r w:rsidRPr="00993C92">
        <w:rPr>
          <w:rFonts w:cstheme="minorHAnsi"/>
          <w:color w:val="000000" w:themeColor="text1"/>
        </w:rPr>
        <w:t>protein correlate</w:t>
      </w:r>
      <w:r w:rsidR="00B109E6" w:rsidRPr="00993C92">
        <w:rPr>
          <w:rFonts w:cstheme="minorHAnsi"/>
          <w:color w:val="000000" w:themeColor="text1"/>
        </w:rPr>
        <w:t>d</w:t>
      </w:r>
      <w:r w:rsidRPr="00993C92">
        <w:rPr>
          <w:rFonts w:cstheme="minorHAnsi"/>
          <w:color w:val="000000" w:themeColor="text1"/>
        </w:rPr>
        <w:t xml:space="preserve"> with antibody binding, suggesting that diet can shape the IgG epitope repertoire.</w:t>
      </w:r>
      <w:r w:rsidR="00E659D9" w:rsidRPr="00993C92">
        <w:rPr>
          <w:rFonts w:cstheme="minorHAnsi"/>
          <w:color w:val="000000" w:themeColor="text1"/>
        </w:rPr>
        <w:t xml:space="preserve"> </w:t>
      </w:r>
      <w:bookmarkStart w:id="3" w:name="_Hlk89184565"/>
      <w:r w:rsidR="00B109E6" w:rsidRPr="00993C92">
        <w:rPr>
          <w:rFonts w:cstheme="minorHAnsi"/>
          <w:color w:val="000000" w:themeColor="text1"/>
        </w:rPr>
        <w:t>O</w:t>
      </w:r>
      <w:r w:rsidRPr="00993C92">
        <w:rPr>
          <w:rFonts w:cstheme="minorHAnsi"/>
          <w:color w:val="000000" w:themeColor="text1"/>
        </w:rPr>
        <w:t>ur work documents abundant systemic IgG responses against food antigens and provides a reference map of the exact immunogenic epitopes on a population scale</w:t>
      </w:r>
      <w:r w:rsidR="00E659D9" w:rsidRPr="00993C92">
        <w:rPr>
          <w:rFonts w:cstheme="minorHAnsi"/>
          <w:color w:val="000000" w:themeColor="text1"/>
        </w:rPr>
        <w:t xml:space="preserve">, </w:t>
      </w:r>
      <w:r w:rsidR="00B109E6" w:rsidRPr="00993C92">
        <w:rPr>
          <w:rFonts w:cstheme="minorHAnsi"/>
          <w:color w:val="000000" w:themeColor="text1"/>
        </w:rPr>
        <w:t>laying</w:t>
      </w:r>
      <w:bookmarkEnd w:id="3"/>
      <w:r w:rsidRPr="00993C92">
        <w:rPr>
          <w:rFonts w:cstheme="minorHAnsi"/>
          <w:color w:val="000000" w:themeColor="text1"/>
        </w:rPr>
        <w:t xml:space="preserve"> the foundation to unravel the role of food</w:t>
      </w:r>
      <w:r w:rsidR="00B109E6" w:rsidRPr="00993C92">
        <w:rPr>
          <w:rFonts w:cstheme="minorHAnsi"/>
          <w:color w:val="000000" w:themeColor="text1"/>
        </w:rPr>
        <w:t>-</w:t>
      </w:r>
      <w:r w:rsidRPr="00993C92">
        <w:rPr>
          <w:rFonts w:cstheme="minorHAnsi"/>
          <w:color w:val="000000" w:themeColor="text1"/>
        </w:rPr>
        <w:t xml:space="preserve"> and environmental antigen</w:t>
      </w:r>
      <w:r w:rsidR="00B109E6" w:rsidRPr="00993C92">
        <w:rPr>
          <w:rFonts w:cstheme="minorHAnsi"/>
          <w:color w:val="000000" w:themeColor="text1"/>
        </w:rPr>
        <w:t>-</w:t>
      </w:r>
      <w:r w:rsidRPr="00993C92">
        <w:rPr>
          <w:rFonts w:cstheme="minorHAnsi"/>
          <w:color w:val="000000" w:themeColor="text1"/>
        </w:rPr>
        <w:t>directed antibody binding in disease contexts.</w:t>
      </w:r>
    </w:p>
    <w:bookmarkEnd w:id="1"/>
    <w:p w14:paraId="6D104C4E" w14:textId="6BD345CF" w:rsidR="0008612E" w:rsidRPr="00993C92" w:rsidRDefault="0008612E">
      <w:pPr>
        <w:spacing w:line="259" w:lineRule="auto"/>
        <w:rPr>
          <w:color w:val="000000" w:themeColor="text1"/>
        </w:rPr>
      </w:pPr>
      <w:r w:rsidRPr="00993C92">
        <w:rPr>
          <w:color w:val="000000" w:themeColor="text1"/>
        </w:rPr>
        <w:br w:type="page"/>
      </w:r>
    </w:p>
    <w:p w14:paraId="232A19C6" w14:textId="08BAD23C" w:rsidR="003753C2" w:rsidRPr="00993C92" w:rsidRDefault="0008612E" w:rsidP="0008612E">
      <w:pPr>
        <w:pStyle w:val="Heading1"/>
        <w:rPr>
          <w:color w:val="000000" w:themeColor="text1"/>
        </w:rPr>
      </w:pPr>
      <w:r w:rsidRPr="00993C92">
        <w:rPr>
          <w:color w:val="000000" w:themeColor="text1"/>
        </w:rPr>
        <w:lastRenderedPageBreak/>
        <w:t>Introduction</w:t>
      </w:r>
    </w:p>
    <w:p w14:paraId="1542D490" w14:textId="0ABE2B43" w:rsidR="008967A3" w:rsidRPr="00993C92" w:rsidRDefault="003C2CA6" w:rsidP="000F5154">
      <w:pPr>
        <w:spacing w:after="0" w:line="257" w:lineRule="auto"/>
        <w:jc w:val="both"/>
        <w:rPr>
          <w:color w:val="000000" w:themeColor="text1"/>
        </w:rPr>
      </w:pPr>
      <w:r w:rsidRPr="00993C92">
        <w:rPr>
          <w:color w:val="000000" w:themeColor="text1"/>
        </w:rPr>
        <w:t xml:space="preserve">Humans are constantly exposed to a </w:t>
      </w:r>
      <w:r w:rsidR="007B303B" w:rsidRPr="00993C92">
        <w:rPr>
          <w:color w:val="000000" w:themeColor="text1"/>
        </w:rPr>
        <w:t>myriad</w:t>
      </w:r>
      <w:r w:rsidRPr="00993C92">
        <w:rPr>
          <w:color w:val="000000" w:themeColor="text1"/>
        </w:rPr>
        <w:t xml:space="preserve"> of potential antigens, ranging from commensal and pathogenic microbes</w:t>
      </w:r>
      <w:r w:rsidR="00C96A5B" w:rsidRPr="00993C92">
        <w:rPr>
          <w:color w:val="000000" w:themeColor="text1"/>
        </w:rPr>
        <w:t xml:space="preserve">, </w:t>
      </w:r>
      <w:r w:rsidRPr="00993C92">
        <w:rPr>
          <w:color w:val="000000" w:themeColor="text1"/>
        </w:rPr>
        <w:t xml:space="preserve">environmental antigens such as plant pollen or dust, to </w:t>
      </w:r>
      <w:r w:rsidR="00C96A5B" w:rsidRPr="00993C92">
        <w:rPr>
          <w:color w:val="000000" w:themeColor="text1"/>
        </w:rPr>
        <w:t xml:space="preserve">the daily ingestion of food. </w:t>
      </w:r>
      <w:r w:rsidR="00DD1AC6" w:rsidRPr="00993C92">
        <w:rPr>
          <w:color w:val="000000" w:themeColor="text1"/>
        </w:rPr>
        <w:t xml:space="preserve">Diet can effect both the innate and adaptive immune system in a plethora of ways </w:t>
      </w:r>
      <w:r w:rsidR="00282B43" w:rsidRPr="00993C92">
        <w:rPr>
          <w:noProof/>
          <w:color w:val="000000" w:themeColor="text1"/>
        </w:rPr>
        <w:t>(Childs et al., 2019)</w:t>
      </w:r>
      <w:r w:rsidR="00DD1AC6" w:rsidRPr="00993C92">
        <w:rPr>
          <w:color w:val="000000" w:themeColor="text1"/>
        </w:rPr>
        <w:t>. Yet, w</w:t>
      </w:r>
      <w:r w:rsidR="00C96A5B" w:rsidRPr="00993C92">
        <w:rPr>
          <w:color w:val="000000" w:themeColor="text1"/>
        </w:rPr>
        <w:t>hile the immune reco</w:t>
      </w:r>
      <w:r w:rsidR="0053008C" w:rsidRPr="00993C92">
        <w:rPr>
          <w:color w:val="000000" w:themeColor="text1"/>
        </w:rPr>
        <w:t xml:space="preserve">gnition </w:t>
      </w:r>
      <w:r w:rsidR="00C96A5B" w:rsidRPr="00993C92">
        <w:rPr>
          <w:color w:val="000000" w:themeColor="text1"/>
        </w:rPr>
        <w:t>of microbiota has been studied in depth</w:t>
      </w:r>
      <w:r w:rsidR="0066129C" w:rsidRPr="00993C92">
        <w:rPr>
          <w:color w:val="000000" w:themeColor="text1"/>
        </w:rPr>
        <w:t xml:space="preserve"> </w:t>
      </w:r>
      <w:r w:rsidR="00282B43" w:rsidRPr="00993C92">
        <w:rPr>
          <w:noProof/>
          <w:color w:val="000000" w:themeColor="text1"/>
        </w:rPr>
        <w:t>(Bunker and Bendelac, 2018; Li et al., 2020; Zeng et al., 2016)</w:t>
      </w:r>
      <w:r w:rsidR="00C96A5B" w:rsidRPr="00993C92">
        <w:rPr>
          <w:color w:val="000000" w:themeColor="text1"/>
        </w:rPr>
        <w:t>, i</w:t>
      </w:r>
      <w:r w:rsidR="00052279" w:rsidRPr="00993C92">
        <w:rPr>
          <w:color w:val="000000" w:themeColor="text1"/>
        </w:rPr>
        <w:t xml:space="preserve">mmune responses against </w:t>
      </w:r>
      <w:bookmarkStart w:id="4" w:name="_Hlk89184224"/>
      <w:r w:rsidR="00052279" w:rsidRPr="00993C92">
        <w:rPr>
          <w:color w:val="000000" w:themeColor="text1"/>
        </w:rPr>
        <w:t>food have primarily been studied in the context of allergies</w:t>
      </w:r>
      <w:r w:rsidR="00E66909" w:rsidRPr="00993C92">
        <w:rPr>
          <w:color w:val="000000" w:themeColor="text1"/>
        </w:rPr>
        <w:t xml:space="preserve"> </w:t>
      </w:r>
      <w:bookmarkEnd w:id="4"/>
      <w:r w:rsidR="00282B43" w:rsidRPr="00993C92">
        <w:rPr>
          <w:noProof/>
          <w:color w:val="000000" w:themeColor="text1"/>
        </w:rPr>
        <w:t>(Tordesillas et al., 2017; Yu et al., 2016)</w:t>
      </w:r>
      <w:r w:rsidR="00052279" w:rsidRPr="00993C92">
        <w:rPr>
          <w:color w:val="000000" w:themeColor="text1"/>
        </w:rPr>
        <w:t>.</w:t>
      </w:r>
    </w:p>
    <w:p w14:paraId="0EA9EAC4" w14:textId="7C4E427E" w:rsidR="000C1FD2" w:rsidRPr="00993C92" w:rsidRDefault="006B080E" w:rsidP="000F5154">
      <w:pPr>
        <w:spacing w:after="0" w:line="257" w:lineRule="auto"/>
        <w:jc w:val="both"/>
        <w:rPr>
          <w:color w:val="000000" w:themeColor="text1"/>
        </w:rPr>
      </w:pPr>
      <w:r w:rsidRPr="00993C92">
        <w:rPr>
          <w:color w:val="000000" w:themeColor="text1"/>
        </w:rPr>
        <w:t>The development of food allergies is believed to be impacted by environmental factors,</w:t>
      </w:r>
      <w:r w:rsidR="006161C0" w:rsidRPr="00993C92">
        <w:rPr>
          <w:color w:val="000000" w:themeColor="text1"/>
        </w:rPr>
        <w:t xml:space="preserve"> </w:t>
      </w:r>
      <w:r w:rsidRPr="00993C92">
        <w:rPr>
          <w:color w:val="000000" w:themeColor="text1"/>
        </w:rPr>
        <w:t xml:space="preserve">including the gut microbiome </w:t>
      </w:r>
      <w:r w:rsidR="004D3555" w:rsidRPr="00993C92">
        <w:rPr>
          <w:color w:val="000000" w:themeColor="text1"/>
        </w:rPr>
        <w:t xml:space="preserve">composition </w:t>
      </w:r>
      <w:r w:rsidR="00282B43" w:rsidRPr="00993C92">
        <w:rPr>
          <w:noProof/>
          <w:color w:val="000000" w:themeColor="text1"/>
        </w:rPr>
        <w:t>(Alexander and Turnbaugh, 2020; Pascal et al., 2018; Stephen-Victor et al., 2020)</w:t>
      </w:r>
      <w:r w:rsidRPr="00993C92">
        <w:rPr>
          <w:color w:val="000000" w:themeColor="text1"/>
        </w:rPr>
        <w:t>.</w:t>
      </w:r>
      <w:r w:rsidR="00F07CBC" w:rsidRPr="00993C92">
        <w:rPr>
          <w:color w:val="000000" w:themeColor="text1"/>
        </w:rPr>
        <w:t xml:space="preserve"> The most frequent type of food allergies are driven by immunoglobulin E (IgE) antibodies binding to food proteins </w:t>
      </w:r>
      <w:r w:rsidR="00282B43" w:rsidRPr="00993C92">
        <w:rPr>
          <w:noProof/>
          <w:color w:val="000000" w:themeColor="text1"/>
        </w:rPr>
        <w:t>(Yu et al., 2016)</w:t>
      </w:r>
      <w:r w:rsidR="007B303B" w:rsidRPr="00993C92">
        <w:rPr>
          <w:color w:val="000000" w:themeColor="text1"/>
        </w:rPr>
        <w:t xml:space="preserve">, which </w:t>
      </w:r>
      <w:r w:rsidR="00FB0971" w:rsidRPr="00993C92">
        <w:rPr>
          <w:color w:val="000000" w:themeColor="text1"/>
        </w:rPr>
        <w:t xml:space="preserve">can also cause local immune responses and pain in the intestines </w:t>
      </w:r>
      <w:r w:rsidR="00282B43" w:rsidRPr="00993C92">
        <w:rPr>
          <w:noProof/>
          <w:color w:val="000000" w:themeColor="text1"/>
        </w:rPr>
        <w:t>(Aguilera-Lizarraga et al., 2021)</w:t>
      </w:r>
      <w:r w:rsidR="00195220" w:rsidRPr="00993C92">
        <w:rPr>
          <w:color w:val="000000" w:themeColor="text1"/>
        </w:rPr>
        <w:t>. While in animal models the production of allergen specific IgA and IgG ha</w:t>
      </w:r>
      <w:r w:rsidR="009F1ED4" w:rsidRPr="00993C92">
        <w:rPr>
          <w:color w:val="000000" w:themeColor="text1"/>
        </w:rPr>
        <w:t xml:space="preserve">s also </w:t>
      </w:r>
      <w:r w:rsidR="00195220" w:rsidRPr="00993C92">
        <w:rPr>
          <w:color w:val="000000" w:themeColor="text1"/>
        </w:rPr>
        <w:t xml:space="preserve">been </w:t>
      </w:r>
      <w:r w:rsidR="006416C6" w:rsidRPr="00993C92">
        <w:rPr>
          <w:color w:val="000000" w:themeColor="text1"/>
        </w:rPr>
        <w:t>investigated</w:t>
      </w:r>
      <w:r w:rsidR="00195220" w:rsidRPr="00993C92">
        <w:rPr>
          <w:color w:val="000000" w:themeColor="text1"/>
        </w:rPr>
        <w:t xml:space="preserve"> </w:t>
      </w:r>
      <w:r w:rsidR="00282B43" w:rsidRPr="00993C92">
        <w:rPr>
          <w:noProof/>
          <w:color w:val="000000" w:themeColor="text1"/>
        </w:rPr>
        <w:t>(Zhang et al., 2020)</w:t>
      </w:r>
      <w:r w:rsidR="00195220" w:rsidRPr="00993C92">
        <w:rPr>
          <w:color w:val="000000" w:themeColor="text1"/>
        </w:rPr>
        <w:t xml:space="preserve">, </w:t>
      </w:r>
      <w:r w:rsidR="00321AFC" w:rsidRPr="00993C92">
        <w:rPr>
          <w:color w:val="000000" w:themeColor="text1"/>
        </w:rPr>
        <w:t xml:space="preserve">in humans </w:t>
      </w:r>
      <w:r w:rsidR="00195220" w:rsidRPr="00993C92">
        <w:rPr>
          <w:color w:val="000000" w:themeColor="text1"/>
        </w:rPr>
        <w:t>the role</w:t>
      </w:r>
      <w:r w:rsidR="00CF3E5B" w:rsidRPr="00993C92">
        <w:rPr>
          <w:color w:val="000000" w:themeColor="text1"/>
        </w:rPr>
        <w:t>s</w:t>
      </w:r>
      <w:r w:rsidR="00195220" w:rsidRPr="00993C92">
        <w:rPr>
          <w:color w:val="000000" w:themeColor="text1"/>
        </w:rPr>
        <w:t xml:space="preserve"> </w:t>
      </w:r>
      <w:r w:rsidR="00321AFC" w:rsidRPr="00993C92">
        <w:rPr>
          <w:color w:val="000000" w:themeColor="text1"/>
        </w:rPr>
        <w:t xml:space="preserve">of Ig classes </w:t>
      </w:r>
      <w:r w:rsidR="006416C6" w:rsidRPr="00993C92">
        <w:rPr>
          <w:color w:val="000000" w:themeColor="text1"/>
        </w:rPr>
        <w:t>other than</w:t>
      </w:r>
      <w:r w:rsidR="00321AFC" w:rsidRPr="00993C92">
        <w:rPr>
          <w:color w:val="000000" w:themeColor="text1"/>
        </w:rPr>
        <w:t xml:space="preserve"> IgE </w:t>
      </w:r>
      <w:r w:rsidR="009F1ED4" w:rsidRPr="00993C92">
        <w:rPr>
          <w:color w:val="000000" w:themeColor="text1"/>
        </w:rPr>
        <w:t xml:space="preserve">in </w:t>
      </w:r>
      <w:r w:rsidR="00321AFC" w:rsidRPr="00993C92">
        <w:rPr>
          <w:color w:val="000000" w:themeColor="text1"/>
        </w:rPr>
        <w:t xml:space="preserve">the context of allergies </w:t>
      </w:r>
      <w:r w:rsidR="00195220" w:rsidRPr="00993C92">
        <w:rPr>
          <w:color w:val="000000" w:themeColor="text1"/>
        </w:rPr>
        <w:t>are less frequently studied</w:t>
      </w:r>
      <w:r w:rsidR="000C1FD2" w:rsidRPr="00993C92">
        <w:rPr>
          <w:color w:val="000000" w:themeColor="text1"/>
        </w:rPr>
        <w:t xml:space="preserve">. </w:t>
      </w:r>
      <w:r w:rsidR="001A5AE2" w:rsidRPr="00993C92">
        <w:rPr>
          <w:color w:val="000000" w:themeColor="text1"/>
        </w:rPr>
        <w:t>I</w:t>
      </w:r>
      <w:r w:rsidR="00CF3E5B" w:rsidRPr="00993C92">
        <w:rPr>
          <w:color w:val="000000" w:themeColor="text1"/>
        </w:rPr>
        <w:t>t</w:t>
      </w:r>
      <w:r w:rsidR="001A5AE2" w:rsidRPr="00993C92">
        <w:rPr>
          <w:color w:val="000000" w:themeColor="text1"/>
        </w:rPr>
        <w:t xml:space="preserve"> has been shown that f</w:t>
      </w:r>
      <w:r w:rsidR="006416C6" w:rsidRPr="00993C92">
        <w:rPr>
          <w:color w:val="000000" w:themeColor="text1"/>
        </w:rPr>
        <w:t xml:space="preserve">ood </w:t>
      </w:r>
      <w:r w:rsidR="00CA7EEB" w:rsidRPr="00993C92">
        <w:rPr>
          <w:color w:val="000000" w:themeColor="text1"/>
        </w:rPr>
        <w:t xml:space="preserve">proteins can </w:t>
      </w:r>
      <w:r w:rsidR="006416C6" w:rsidRPr="00993C92">
        <w:rPr>
          <w:color w:val="000000" w:themeColor="text1"/>
        </w:rPr>
        <w:t>elicit mucosal IgA</w:t>
      </w:r>
      <w:r w:rsidR="00D37C4A" w:rsidRPr="00993C92">
        <w:rPr>
          <w:color w:val="000000" w:themeColor="text1"/>
        </w:rPr>
        <w:t xml:space="preserve"> </w:t>
      </w:r>
      <w:r w:rsidR="00282B43" w:rsidRPr="00993C92">
        <w:rPr>
          <w:noProof/>
          <w:color w:val="000000" w:themeColor="text1"/>
        </w:rPr>
        <w:t>(Hoh and Boyd, 2018)</w:t>
      </w:r>
      <w:r w:rsidR="006416C6" w:rsidRPr="00993C92">
        <w:rPr>
          <w:color w:val="000000" w:themeColor="text1"/>
        </w:rPr>
        <w:t xml:space="preserve">, detectable in stool samples </w:t>
      </w:r>
      <w:r w:rsidR="00282B43" w:rsidRPr="00993C92">
        <w:rPr>
          <w:noProof/>
          <w:color w:val="000000" w:themeColor="text1"/>
        </w:rPr>
        <w:t>(Frossard et al., 2004; Kamemura et al., 2015)</w:t>
      </w:r>
      <w:r w:rsidR="006416C6" w:rsidRPr="00993C92">
        <w:rPr>
          <w:color w:val="000000" w:themeColor="text1"/>
        </w:rPr>
        <w:t>, as well as systemic</w:t>
      </w:r>
      <w:r w:rsidR="00DF02BC" w:rsidRPr="00993C92">
        <w:rPr>
          <w:color w:val="000000" w:themeColor="text1"/>
        </w:rPr>
        <w:t xml:space="preserve"> </w:t>
      </w:r>
      <w:r w:rsidR="006416C6" w:rsidRPr="00993C92">
        <w:rPr>
          <w:color w:val="000000" w:themeColor="text1"/>
        </w:rPr>
        <w:t>IgA</w:t>
      </w:r>
      <w:r w:rsidR="00DF02BC" w:rsidRPr="00993C92">
        <w:rPr>
          <w:color w:val="000000" w:themeColor="text1"/>
        </w:rPr>
        <w:t xml:space="preserve"> in blood </w:t>
      </w:r>
      <w:r w:rsidR="00282B43" w:rsidRPr="00993C92">
        <w:rPr>
          <w:noProof/>
          <w:color w:val="000000" w:themeColor="text1"/>
        </w:rPr>
        <w:t>(Husby et al., 1985; Konstantinou et al., 2014a, 2014b; Vazquez-Ortiz et al., 2013)</w:t>
      </w:r>
      <w:r w:rsidR="00EB6EA5" w:rsidRPr="00993C92">
        <w:rPr>
          <w:color w:val="000000" w:themeColor="text1"/>
        </w:rPr>
        <w:t>.</w:t>
      </w:r>
      <w:r w:rsidR="00DF02BC" w:rsidRPr="00993C92">
        <w:rPr>
          <w:color w:val="000000" w:themeColor="text1"/>
        </w:rPr>
        <w:t xml:space="preserve"> Mucosal IgA responses have been suggested to</w:t>
      </w:r>
      <w:r w:rsidR="004A68FA" w:rsidRPr="00993C92">
        <w:rPr>
          <w:color w:val="000000" w:themeColor="text1"/>
        </w:rPr>
        <w:t xml:space="preserve"> counteract allergic responses</w:t>
      </w:r>
      <w:r w:rsidR="00DF02BC" w:rsidRPr="00993C92">
        <w:rPr>
          <w:color w:val="000000" w:themeColor="text1"/>
        </w:rPr>
        <w:t xml:space="preserve"> </w:t>
      </w:r>
      <w:r w:rsidR="00282B43" w:rsidRPr="00993C92">
        <w:rPr>
          <w:noProof/>
          <w:color w:val="000000" w:themeColor="text1"/>
        </w:rPr>
        <w:t>(Corthésy, 2013)</w:t>
      </w:r>
      <w:r w:rsidR="004A68FA" w:rsidRPr="00993C92">
        <w:rPr>
          <w:color w:val="000000" w:themeColor="text1"/>
        </w:rPr>
        <w:t xml:space="preserve">, although this view has been challenged by recent work reporting that regular food exposure only induces weak IgA responses in a subset of test animals </w:t>
      </w:r>
      <w:r w:rsidR="00282B43" w:rsidRPr="00993C92">
        <w:rPr>
          <w:noProof/>
          <w:color w:val="000000" w:themeColor="text1"/>
        </w:rPr>
        <w:t>(Zhang et al., 2020)</w:t>
      </w:r>
      <w:r w:rsidR="004A68FA" w:rsidRPr="00993C92">
        <w:rPr>
          <w:color w:val="000000" w:themeColor="text1"/>
        </w:rPr>
        <w:t>.</w:t>
      </w:r>
    </w:p>
    <w:p w14:paraId="797D51F6" w14:textId="3C383AD6" w:rsidR="00312301" w:rsidRPr="00993C92" w:rsidRDefault="004A68FA" w:rsidP="00B351A8">
      <w:pPr>
        <w:spacing w:after="0" w:line="257" w:lineRule="auto"/>
        <w:jc w:val="both"/>
        <w:rPr>
          <w:color w:val="000000" w:themeColor="text1"/>
        </w:rPr>
      </w:pPr>
      <w:bookmarkStart w:id="5" w:name="_Hlk103779349"/>
      <w:r w:rsidRPr="00993C92">
        <w:rPr>
          <w:color w:val="000000" w:themeColor="text1"/>
        </w:rPr>
        <w:t>Systemic antibody production of IgG, the primary antibody class accounting for ~</w:t>
      </w:r>
      <w:r w:rsidR="004C0A79" w:rsidRPr="00993C92">
        <w:rPr>
          <w:color w:val="000000" w:themeColor="text1"/>
        </w:rPr>
        <w:t>75</w:t>
      </w:r>
      <w:r w:rsidRPr="00993C92">
        <w:rPr>
          <w:color w:val="000000" w:themeColor="text1"/>
        </w:rPr>
        <w:t xml:space="preserve">% of serum Igs, against food </w:t>
      </w:r>
      <w:r w:rsidR="00CA7EEB" w:rsidRPr="00993C92">
        <w:rPr>
          <w:color w:val="000000" w:themeColor="text1"/>
        </w:rPr>
        <w:t xml:space="preserve">proteins </w:t>
      </w:r>
      <w:r w:rsidRPr="00993C92">
        <w:rPr>
          <w:color w:val="000000" w:themeColor="text1"/>
        </w:rPr>
        <w:t xml:space="preserve">has been </w:t>
      </w:r>
      <w:r w:rsidR="00CE53CD" w:rsidRPr="00993C92">
        <w:rPr>
          <w:color w:val="000000" w:themeColor="text1"/>
        </w:rPr>
        <w:t xml:space="preserve">investigated even </w:t>
      </w:r>
      <w:r w:rsidR="000B3A5E" w:rsidRPr="00993C92">
        <w:rPr>
          <w:color w:val="000000" w:themeColor="text1"/>
        </w:rPr>
        <w:t xml:space="preserve">less frequently. </w:t>
      </w:r>
      <w:r w:rsidR="0059475B" w:rsidRPr="00993C92">
        <w:rPr>
          <w:color w:val="000000" w:themeColor="text1"/>
        </w:rPr>
        <w:t xml:space="preserve">Studies </w:t>
      </w:r>
      <w:r w:rsidR="00CF3E5B" w:rsidRPr="00993C92">
        <w:rPr>
          <w:color w:val="000000" w:themeColor="text1"/>
        </w:rPr>
        <w:t>from</w:t>
      </w:r>
      <w:r w:rsidR="009C37E6" w:rsidRPr="00993C92">
        <w:rPr>
          <w:color w:val="000000" w:themeColor="text1"/>
        </w:rPr>
        <w:t xml:space="preserve"> the 1980s testing a few protein food antigens have demonstrated that </w:t>
      </w:r>
      <w:r w:rsidR="00565F44" w:rsidRPr="00993C92">
        <w:rPr>
          <w:color w:val="000000" w:themeColor="text1"/>
        </w:rPr>
        <w:t>non-allergic</w:t>
      </w:r>
      <w:r w:rsidR="009C37E6" w:rsidRPr="00993C92">
        <w:rPr>
          <w:color w:val="000000" w:themeColor="text1"/>
        </w:rPr>
        <w:t xml:space="preserve"> individuals </w:t>
      </w:r>
      <w:r w:rsidR="00CF3E5B" w:rsidRPr="00993C92">
        <w:rPr>
          <w:color w:val="000000" w:themeColor="text1"/>
        </w:rPr>
        <w:t xml:space="preserve">can </w:t>
      </w:r>
      <w:r w:rsidR="009C37E6" w:rsidRPr="00993C92">
        <w:rPr>
          <w:color w:val="000000" w:themeColor="text1"/>
        </w:rPr>
        <w:t xml:space="preserve">produce IgG against </w:t>
      </w:r>
      <w:r w:rsidR="002D6594" w:rsidRPr="00993C92">
        <w:rPr>
          <w:color w:val="000000" w:themeColor="text1"/>
        </w:rPr>
        <w:t>some</w:t>
      </w:r>
      <w:r w:rsidR="00312301" w:rsidRPr="00993C92">
        <w:rPr>
          <w:color w:val="000000" w:themeColor="text1"/>
        </w:rPr>
        <w:t xml:space="preserve"> food</w:t>
      </w:r>
      <w:r w:rsidR="002D6594" w:rsidRPr="00993C92">
        <w:rPr>
          <w:color w:val="000000" w:themeColor="text1"/>
        </w:rPr>
        <w:t xml:space="preserve"> item</w:t>
      </w:r>
      <w:r w:rsidR="00312301" w:rsidRPr="00993C92">
        <w:rPr>
          <w:color w:val="000000" w:themeColor="text1"/>
        </w:rPr>
        <w:t>s</w:t>
      </w:r>
      <w:r w:rsidR="009C37E6" w:rsidRPr="00993C92">
        <w:rPr>
          <w:color w:val="000000" w:themeColor="text1"/>
        </w:rPr>
        <w:t xml:space="preserve"> </w:t>
      </w:r>
      <w:r w:rsidR="00282B43" w:rsidRPr="00993C92">
        <w:rPr>
          <w:noProof/>
          <w:color w:val="000000" w:themeColor="text1"/>
        </w:rPr>
        <w:t>(Husby et al., 1985)</w:t>
      </w:r>
      <w:r w:rsidR="00312301" w:rsidRPr="00993C92">
        <w:rPr>
          <w:color w:val="000000" w:themeColor="text1"/>
        </w:rPr>
        <w:t>.</w:t>
      </w:r>
      <w:r w:rsidR="0007554C" w:rsidRPr="00993C92">
        <w:rPr>
          <w:color w:val="000000" w:themeColor="text1"/>
        </w:rPr>
        <w:t xml:space="preserve"> In the early 2000s, s</w:t>
      </w:r>
      <w:r w:rsidR="00F20B83" w:rsidRPr="00993C92">
        <w:rPr>
          <w:color w:val="000000" w:themeColor="text1"/>
        </w:rPr>
        <w:t>erological tests for the subclass IgG4 binding to food proteins have been promoted as means to diagnose hypersensitivity. However, in a position paper by the European Academy of Allergy and Clinical Immunology (EAACI), such food specific IgG responses have been recognized as occurring simply from frequent exposure to these foods without any pathological implication</w:t>
      </w:r>
      <w:r w:rsidR="00312301" w:rsidRPr="00993C92">
        <w:rPr>
          <w:color w:val="000000" w:themeColor="text1"/>
        </w:rPr>
        <w:t xml:space="preserve"> </w:t>
      </w:r>
      <w:r w:rsidR="00282B43" w:rsidRPr="00993C92">
        <w:rPr>
          <w:noProof/>
          <w:color w:val="000000" w:themeColor="text1"/>
        </w:rPr>
        <w:t>(Hamilton, 2009; Stapel et al., 2008)</w:t>
      </w:r>
      <w:r w:rsidR="00F20B83" w:rsidRPr="00993C92">
        <w:rPr>
          <w:color w:val="000000" w:themeColor="text1"/>
        </w:rPr>
        <w:t>.</w:t>
      </w:r>
      <w:r w:rsidR="003660A3" w:rsidRPr="00993C92">
        <w:rPr>
          <w:color w:val="000000" w:themeColor="text1"/>
        </w:rPr>
        <w:t xml:space="preserve"> On the contrary, IgG4 against allergens </w:t>
      </w:r>
      <w:r w:rsidR="00B07A39" w:rsidRPr="00993C92">
        <w:rPr>
          <w:color w:val="000000" w:themeColor="text1"/>
        </w:rPr>
        <w:t xml:space="preserve">is </w:t>
      </w:r>
      <w:r w:rsidR="003660A3" w:rsidRPr="00993C92">
        <w:rPr>
          <w:color w:val="000000" w:themeColor="text1"/>
        </w:rPr>
        <w:t xml:space="preserve">rather elevated in allergen-specific immunotherapy and considered to exert </w:t>
      </w:r>
      <w:r w:rsidR="000C4CD4" w:rsidRPr="00993C92">
        <w:rPr>
          <w:color w:val="000000" w:themeColor="text1"/>
        </w:rPr>
        <w:t>protective</w:t>
      </w:r>
      <w:r w:rsidR="003660A3" w:rsidRPr="00993C92">
        <w:rPr>
          <w:color w:val="000000" w:themeColor="text1"/>
        </w:rPr>
        <w:t xml:space="preserve"> effects as “blocking antibodies” by com</w:t>
      </w:r>
      <w:r w:rsidR="002F4953" w:rsidRPr="00993C92">
        <w:rPr>
          <w:color w:val="000000" w:themeColor="text1"/>
        </w:rPr>
        <w:t>pe</w:t>
      </w:r>
      <w:r w:rsidR="003660A3" w:rsidRPr="00993C92">
        <w:rPr>
          <w:color w:val="000000" w:themeColor="text1"/>
        </w:rPr>
        <w:t xml:space="preserve">ting </w:t>
      </w:r>
      <w:r w:rsidR="000369EB" w:rsidRPr="00993C92">
        <w:rPr>
          <w:color w:val="000000" w:themeColor="text1"/>
        </w:rPr>
        <w:t>allergen</w:t>
      </w:r>
      <w:r w:rsidR="002F4953" w:rsidRPr="00993C92">
        <w:rPr>
          <w:color w:val="000000" w:themeColor="text1"/>
        </w:rPr>
        <w:t xml:space="preserve"> </w:t>
      </w:r>
      <w:r w:rsidR="003660A3" w:rsidRPr="00993C92">
        <w:rPr>
          <w:color w:val="000000" w:themeColor="text1"/>
        </w:rPr>
        <w:t>binding by IgE</w:t>
      </w:r>
      <w:r w:rsidR="002F4953" w:rsidRPr="00993C92">
        <w:rPr>
          <w:color w:val="000000" w:themeColor="text1"/>
        </w:rPr>
        <w:t xml:space="preserve"> </w:t>
      </w:r>
      <w:r w:rsidR="00282B43" w:rsidRPr="00993C92">
        <w:rPr>
          <w:noProof/>
          <w:color w:val="000000" w:themeColor="text1"/>
        </w:rPr>
        <w:t>(Eckl-Dorna et al., 2019; James and Till, 2016; Santos et al., 2015)</w:t>
      </w:r>
      <w:r w:rsidR="003660A3" w:rsidRPr="00993C92">
        <w:rPr>
          <w:color w:val="000000" w:themeColor="text1"/>
        </w:rPr>
        <w:t>. In this respect</w:t>
      </w:r>
      <w:r w:rsidR="00704526" w:rsidRPr="00993C92">
        <w:rPr>
          <w:color w:val="000000" w:themeColor="text1"/>
        </w:rPr>
        <w:t>, the</w:t>
      </w:r>
      <w:r w:rsidR="003660A3" w:rsidRPr="00993C92">
        <w:rPr>
          <w:color w:val="000000" w:themeColor="text1"/>
        </w:rPr>
        <w:t xml:space="preserve"> ratio</w:t>
      </w:r>
      <w:r w:rsidR="002F4953" w:rsidRPr="00993C92">
        <w:rPr>
          <w:color w:val="000000" w:themeColor="text1"/>
        </w:rPr>
        <w:t xml:space="preserve"> of </w:t>
      </w:r>
      <w:r w:rsidR="003660A3" w:rsidRPr="00993C92">
        <w:rPr>
          <w:color w:val="000000" w:themeColor="text1"/>
        </w:rPr>
        <w:t>IgG4</w:t>
      </w:r>
      <w:r w:rsidR="002F4953" w:rsidRPr="00993C92">
        <w:rPr>
          <w:color w:val="000000" w:themeColor="text1"/>
        </w:rPr>
        <w:t xml:space="preserve">/IgE </w:t>
      </w:r>
      <w:r w:rsidR="000369EB" w:rsidRPr="00993C92">
        <w:rPr>
          <w:color w:val="000000" w:themeColor="text1"/>
        </w:rPr>
        <w:t>specific</w:t>
      </w:r>
      <w:r w:rsidR="002F4953" w:rsidRPr="00993C92">
        <w:rPr>
          <w:color w:val="000000" w:themeColor="text1"/>
        </w:rPr>
        <w:t xml:space="preserve"> for a certain allergen, has been shown to be higher in </w:t>
      </w:r>
      <w:r w:rsidR="000369EB" w:rsidRPr="00993C92">
        <w:rPr>
          <w:color w:val="000000" w:themeColor="text1"/>
        </w:rPr>
        <w:t xml:space="preserve">sensitized but tolerant </w:t>
      </w:r>
      <w:r w:rsidR="00E5157B" w:rsidRPr="00993C92">
        <w:rPr>
          <w:color w:val="000000" w:themeColor="text1"/>
        </w:rPr>
        <w:t>individuals</w:t>
      </w:r>
      <w:r w:rsidR="000369EB" w:rsidRPr="00993C92">
        <w:rPr>
          <w:color w:val="000000" w:themeColor="text1"/>
        </w:rPr>
        <w:t xml:space="preserve">, than in allergic </w:t>
      </w:r>
      <w:r w:rsidR="00D6766E" w:rsidRPr="00993C92">
        <w:rPr>
          <w:color w:val="000000" w:themeColor="text1"/>
        </w:rPr>
        <w:t>individuals</w:t>
      </w:r>
      <w:r w:rsidR="000369EB" w:rsidRPr="00993C92">
        <w:rPr>
          <w:color w:val="000000" w:themeColor="text1"/>
        </w:rPr>
        <w:t xml:space="preserve"> </w:t>
      </w:r>
      <w:r w:rsidR="00282B43" w:rsidRPr="00993C92">
        <w:rPr>
          <w:noProof/>
          <w:color w:val="000000" w:themeColor="text1"/>
        </w:rPr>
        <w:t>(Nikolov et al., 2021; Okamoto et al., 2012; Santos et al., 2015)</w:t>
      </w:r>
      <w:r w:rsidR="00820A17" w:rsidRPr="00993C92">
        <w:rPr>
          <w:color w:val="000000" w:themeColor="text1"/>
        </w:rPr>
        <w:t xml:space="preserve"> (although </w:t>
      </w:r>
      <w:r w:rsidR="00D6766E" w:rsidRPr="00993C92">
        <w:rPr>
          <w:color w:val="000000" w:themeColor="text1"/>
        </w:rPr>
        <w:t xml:space="preserve">depending on the context </w:t>
      </w:r>
      <w:r w:rsidR="00282B43" w:rsidRPr="00993C92">
        <w:rPr>
          <w:noProof/>
          <w:color w:val="000000" w:themeColor="text1"/>
        </w:rPr>
        <w:t>(Datema et al., 2019; Michailidou et al., 2021)</w:t>
      </w:r>
      <w:r w:rsidR="004F7332" w:rsidRPr="00993C92">
        <w:rPr>
          <w:color w:val="000000" w:themeColor="text1"/>
        </w:rPr>
        <w:t xml:space="preserve"> and the type of allergic disorder can also play a role </w:t>
      </w:r>
      <w:r w:rsidR="00282B43" w:rsidRPr="00993C92">
        <w:rPr>
          <w:noProof/>
          <w:color w:val="000000" w:themeColor="text1"/>
        </w:rPr>
        <w:t>(Smoldovskaya et al., 2018)</w:t>
      </w:r>
      <w:r w:rsidR="00820A17" w:rsidRPr="00993C92">
        <w:rPr>
          <w:color w:val="000000" w:themeColor="text1"/>
        </w:rPr>
        <w:t>)</w:t>
      </w:r>
      <w:r w:rsidR="00C33F6D" w:rsidRPr="00993C92">
        <w:rPr>
          <w:color w:val="000000" w:themeColor="text1"/>
        </w:rPr>
        <w:t xml:space="preserve">. </w:t>
      </w:r>
      <w:r w:rsidR="00FD4BE8" w:rsidRPr="00993C92">
        <w:rPr>
          <w:color w:val="000000" w:themeColor="text1"/>
        </w:rPr>
        <w:t xml:space="preserve">In addition to this beneficial role of IgG4, also the IgG1 subclass is relevant in the context of IgE driven allergies, as affinity maturation of IgE antibodies is viewed to follow a trajectory via precursor IgG1 cells switching to IgE </w:t>
      </w:r>
      <w:r w:rsidR="00282B43" w:rsidRPr="00993C92">
        <w:rPr>
          <w:noProof/>
          <w:color w:val="000000" w:themeColor="text1"/>
        </w:rPr>
        <w:t>(Satitsuksanoa et al., 2021; Xiong et al., 2012)</w:t>
      </w:r>
      <w:r w:rsidR="00350767" w:rsidRPr="00993C92">
        <w:rPr>
          <w:color w:val="000000" w:themeColor="text1"/>
        </w:rPr>
        <w:t xml:space="preserve"> with complex mechanisms of IgG1 memory cells </w:t>
      </w:r>
      <w:r w:rsidR="000E4536" w:rsidRPr="00993C92">
        <w:rPr>
          <w:color w:val="000000" w:themeColor="text1"/>
        </w:rPr>
        <w:t xml:space="preserve">mediating memory of IgE responses </w:t>
      </w:r>
      <w:r w:rsidR="00282B43" w:rsidRPr="00993C92">
        <w:rPr>
          <w:noProof/>
          <w:color w:val="000000" w:themeColor="text1"/>
        </w:rPr>
        <w:t>(He et al., 2017; Hoof et al., 2020; Saunders et al., 2019)</w:t>
      </w:r>
      <w:r w:rsidR="00FD4BE8" w:rsidRPr="00993C92">
        <w:rPr>
          <w:color w:val="000000" w:themeColor="text1"/>
        </w:rPr>
        <w:t xml:space="preserve">. </w:t>
      </w:r>
      <w:bookmarkEnd w:id="5"/>
      <w:r w:rsidR="00C33F6D" w:rsidRPr="00993C92">
        <w:rPr>
          <w:color w:val="000000" w:themeColor="text1"/>
        </w:rPr>
        <w:t>Overall beyond some specific examples,</w:t>
      </w:r>
      <w:r w:rsidR="00700322" w:rsidRPr="00993C92">
        <w:rPr>
          <w:color w:val="000000" w:themeColor="text1"/>
        </w:rPr>
        <w:t xml:space="preserve"> </w:t>
      </w:r>
      <w:r w:rsidR="002D6594" w:rsidRPr="00993C92">
        <w:rPr>
          <w:color w:val="000000" w:themeColor="text1"/>
        </w:rPr>
        <w:t xml:space="preserve">IgG </w:t>
      </w:r>
      <w:r w:rsidR="00700322" w:rsidRPr="00993C92">
        <w:rPr>
          <w:color w:val="000000" w:themeColor="text1"/>
        </w:rPr>
        <w:t xml:space="preserve">responses have been reported for </w:t>
      </w:r>
      <w:r w:rsidR="002D6594" w:rsidRPr="00993C92">
        <w:rPr>
          <w:color w:val="000000" w:themeColor="text1"/>
        </w:rPr>
        <w:t>very</w:t>
      </w:r>
      <w:r w:rsidR="00700322" w:rsidRPr="00993C92">
        <w:rPr>
          <w:color w:val="000000" w:themeColor="text1"/>
        </w:rPr>
        <w:t xml:space="preserve"> few food proteins</w:t>
      </w:r>
      <w:r w:rsidR="00CF3E5B" w:rsidRPr="00993C92">
        <w:rPr>
          <w:color w:val="000000" w:themeColor="text1"/>
        </w:rPr>
        <w:t xml:space="preserve"> </w:t>
      </w:r>
      <w:r w:rsidR="002D6594" w:rsidRPr="00993C92">
        <w:rPr>
          <w:color w:val="000000" w:themeColor="text1"/>
        </w:rPr>
        <w:t>due to limitations of conventional ELISAs to screen larger sets of antigens</w:t>
      </w:r>
      <w:r w:rsidR="00CF3E5B" w:rsidRPr="00993C92">
        <w:rPr>
          <w:color w:val="000000" w:themeColor="text1"/>
        </w:rPr>
        <w:t>,</w:t>
      </w:r>
      <w:r w:rsidR="002D6594" w:rsidRPr="00993C92">
        <w:rPr>
          <w:color w:val="000000" w:themeColor="text1"/>
        </w:rPr>
        <w:t xml:space="preserve"> and </w:t>
      </w:r>
      <w:r w:rsidR="00700322" w:rsidRPr="00993C92">
        <w:rPr>
          <w:color w:val="000000" w:themeColor="text1"/>
        </w:rPr>
        <w:t>the exact epitopes targeted are vastly unknown</w:t>
      </w:r>
      <w:r w:rsidR="0007554C" w:rsidRPr="00993C92">
        <w:rPr>
          <w:color w:val="000000" w:themeColor="text1"/>
        </w:rPr>
        <w:t xml:space="preserve"> </w:t>
      </w:r>
      <w:r w:rsidR="00282B43" w:rsidRPr="00993C92">
        <w:rPr>
          <w:noProof/>
          <w:color w:val="000000" w:themeColor="text1"/>
        </w:rPr>
        <w:t>(Gocki and Bartuzi, 2016; Stapel et al., 2008)</w:t>
      </w:r>
      <w:r w:rsidR="00700322" w:rsidRPr="00993C92">
        <w:rPr>
          <w:color w:val="000000" w:themeColor="text1"/>
        </w:rPr>
        <w:t>.</w:t>
      </w:r>
    </w:p>
    <w:p w14:paraId="1D9A5BA8" w14:textId="71F2A219" w:rsidR="00364A20" w:rsidRPr="00993C92" w:rsidRDefault="0057082A" w:rsidP="00B351A8">
      <w:pPr>
        <w:spacing w:after="0" w:line="257" w:lineRule="auto"/>
        <w:jc w:val="both"/>
        <w:rPr>
          <w:color w:val="000000" w:themeColor="text1"/>
        </w:rPr>
      </w:pPr>
      <w:r w:rsidRPr="00993C92">
        <w:rPr>
          <w:color w:val="000000" w:themeColor="text1"/>
        </w:rPr>
        <w:t xml:space="preserve">Recently, wheat </w:t>
      </w:r>
      <w:r w:rsidR="00282B43" w:rsidRPr="00993C92">
        <w:rPr>
          <w:noProof/>
          <w:color w:val="000000" w:themeColor="text1"/>
        </w:rPr>
        <w:t>(Monaco et al., 2021)</w:t>
      </w:r>
      <w:r w:rsidR="00D37C4A" w:rsidRPr="00993C92">
        <w:rPr>
          <w:color w:val="000000" w:themeColor="text1"/>
        </w:rPr>
        <w:t xml:space="preserve"> and peanut </w:t>
      </w:r>
      <w:r w:rsidR="00282B43" w:rsidRPr="00993C92">
        <w:rPr>
          <w:noProof/>
          <w:color w:val="000000" w:themeColor="text1"/>
        </w:rPr>
        <w:t>(Chen et al., 2021)</w:t>
      </w:r>
      <w:r w:rsidR="00D37C4A" w:rsidRPr="00993C92">
        <w:rPr>
          <w:color w:val="000000" w:themeColor="text1"/>
        </w:rPr>
        <w:t xml:space="preserve"> </w:t>
      </w:r>
      <w:r w:rsidRPr="00993C92">
        <w:rPr>
          <w:color w:val="000000" w:themeColor="text1"/>
        </w:rPr>
        <w:t xml:space="preserve">specific </w:t>
      </w:r>
      <w:r w:rsidR="00FA40EE" w:rsidRPr="00993C92">
        <w:rPr>
          <w:color w:val="000000" w:themeColor="text1"/>
        </w:rPr>
        <w:t xml:space="preserve">IgE and </w:t>
      </w:r>
      <w:r w:rsidRPr="00993C92">
        <w:rPr>
          <w:color w:val="000000" w:themeColor="text1"/>
        </w:rPr>
        <w:t xml:space="preserve">IgG responses have been </w:t>
      </w:r>
      <w:r w:rsidR="00364A20" w:rsidRPr="00993C92">
        <w:rPr>
          <w:color w:val="000000" w:themeColor="text1"/>
        </w:rPr>
        <w:t>profile</w:t>
      </w:r>
      <w:r w:rsidR="002D6594" w:rsidRPr="00993C92">
        <w:rPr>
          <w:color w:val="000000" w:themeColor="text1"/>
        </w:rPr>
        <w:t>d</w:t>
      </w:r>
      <w:r w:rsidR="00364A20" w:rsidRPr="00993C92">
        <w:rPr>
          <w:color w:val="000000" w:themeColor="text1"/>
        </w:rPr>
        <w:t xml:space="preserve"> in allergic and </w:t>
      </w:r>
      <w:r w:rsidR="009C37E6" w:rsidRPr="00993C92">
        <w:rPr>
          <w:color w:val="000000" w:themeColor="text1"/>
        </w:rPr>
        <w:t>non-allergic</w:t>
      </w:r>
      <w:r w:rsidRPr="00993C92">
        <w:rPr>
          <w:color w:val="000000" w:themeColor="text1"/>
        </w:rPr>
        <w:t xml:space="preserve"> individuals</w:t>
      </w:r>
      <w:r w:rsidR="00312301" w:rsidRPr="00993C92">
        <w:rPr>
          <w:color w:val="000000" w:themeColor="text1"/>
        </w:rPr>
        <w:t xml:space="preserve">, leveraging a high throughput phage display based methodology (‘AllerScan’ </w:t>
      </w:r>
      <w:r w:rsidR="00282B43" w:rsidRPr="00993C92">
        <w:rPr>
          <w:noProof/>
          <w:color w:val="000000" w:themeColor="text1"/>
        </w:rPr>
        <w:t>(Chen et al., 2021; Monaco et al., 2021)</w:t>
      </w:r>
      <w:r w:rsidR="00312301" w:rsidRPr="00993C92">
        <w:rPr>
          <w:color w:val="000000" w:themeColor="text1"/>
        </w:rPr>
        <w:t xml:space="preserve"> based on phage immunoprecipitation sequencing (PhIP-Seq) </w:t>
      </w:r>
      <w:r w:rsidR="00282B43" w:rsidRPr="00993C92">
        <w:rPr>
          <w:noProof/>
          <w:color w:val="000000" w:themeColor="text1"/>
        </w:rPr>
        <w:t>(Mohan et al., 2018)</w:t>
      </w:r>
      <w:r w:rsidR="00312301" w:rsidRPr="00993C92">
        <w:rPr>
          <w:color w:val="000000" w:themeColor="text1"/>
        </w:rPr>
        <w:t>)</w:t>
      </w:r>
      <w:r w:rsidR="004C43FF" w:rsidRPr="00993C92">
        <w:rPr>
          <w:color w:val="000000" w:themeColor="text1"/>
        </w:rPr>
        <w:t xml:space="preserve">. However, the frequency and magnitude of </w:t>
      </w:r>
      <w:r w:rsidR="00364A20" w:rsidRPr="00993C92">
        <w:rPr>
          <w:color w:val="000000" w:themeColor="text1"/>
        </w:rPr>
        <w:t xml:space="preserve">systemic </w:t>
      </w:r>
      <w:r w:rsidR="004C43FF" w:rsidRPr="00993C92">
        <w:rPr>
          <w:color w:val="000000" w:themeColor="text1"/>
        </w:rPr>
        <w:t xml:space="preserve">antibody responses in </w:t>
      </w:r>
      <w:r w:rsidR="00565F44" w:rsidRPr="00993C92">
        <w:rPr>
          <w:color w:val="000000" w:themeColor="text1"/>
        </w:rPr>
        <w:t>the general population</w:t>
      </w:r>
      <w:r w:rsidR="004C43FF" w:rsidRPr="00993C92">
        <w:rPr>
          <w:color w:val="000000" w:themeColor="text1"/>
        </w:rPr>
        <w:t xml:space="preserve"> against </w:t>
      </w:r>
      <w:r w:rsidR="00903227" w:rsidRPr="00993C92">
        <w:rPr>
          <w:color w:val="000000" w:themeColor="text1"/>
        </w:rPr>
        <w:t xml:space="preserve">proteins from a variety </w:t>
      </w:r>
      <w:r w:rsidR="00903227" w:rsidRPr="00993C92">
        <w:rPr>
          <w:color w:val="000000" w:themeColor="text1"/>
        </w:rPr>
        <w:lastRenderedPageBreak/>
        <w:t>of different</w:t>
      </w:r>
      <w:r w:rsidR="004C43FF" w:rsidRPr="00993C92">
        <w:rPr>
          <w:color w:val="000000" w:themeColor="text1"/>
        </w:rPr>
        <w:t xml:space="preserve"> foods have</w:t>
      </w:r>
      <w:r w:rsidR="004B076F" w:rsidRPr="00993C92">
        <w:rPr>
          <w:color w:val="000000" w:themeColor="text1"/>
        </w:rPr>
        <w:t xml:space="preserve"> </w:t>
      </w:r>
      <w:r w:rsidR="004C43FF" w:rsidRPr="00993C92">
        <w:rPr>
          <w:color w:val="000000" w:themeColor="text1"/>
        </w:rPr>
        <w:t>never been systematically assessed.</w:t>
      </w:r>
      <w:r w:rsidR="00364A20" w:rsidRPr="00993C92">
        <w:rPr>
          <w:color w:val="000000" w:themeColor="text1"/>
        </w:rPr>
        <w:t xml:space="preserve"> Hence, the antibody driven ‘baseline’ and </w:t>
      </w:r>
      <w:r w:rsidR="00344B3C" w:rsidRPr="00993C92">
        <w:rPr>
          <w:color w:val="000000" w:themeColor="text1"/>
        </w:rPr>
        <w:t xml:space="preserve">the human </w:t>
      </w:r>
      <w:r w:rsidR="00364A20" w:rsidRPr="00993C92">
        <w:rPr>
          <w:color w:val="000000" w:themeColor="text1"/>
        </w:rPr>
        <w:t>food specific Ig epitope repertoires are widely unknown.</w:t>
      </w:r>
    </w:p>
    <w:p w14:paraId="45BB011D" w14:textId="44F42485" w:rsidR="00364A20" w:rsidRPr="00993C92" w:rsidRDefault="00364A20" w:rsidP="00B351A8">
      <w:pPr>
        <w:jc w:val="both"/>
        <w:rPr>
          <w:color w:val="000000" w:themeColor="text1"/>
        </w:rPr>
      </w:pPr>
      <w:r w:rsidRPr="00993C92">
        <w:rPr>
          <w:color w:val="000000" w:themeColor="text1"/>
        </w:rPr>
        <w:t xml:space="preserve">Here, we profiled antibody responses against databases of food and environmental proteins represented as </w:t>
      </w:r>
      <w:r w:rsidR="00F21A4B" w:rsidRPr="00993C92">
        <w:rPr>
          <w:color w:val="000000" w:themeColor="text1"/>
        </w:rPr>
        <w:t>58</w:t>
      </w:r>
      <w:r w:rsidRPr="00993C92">
        <w:rPr>
          <w:color w:val="000000" w:themeColor="text1"/>
        </w:rPr>
        <w:t>,</w:t>
      </w:r>
      <w:r w:rsidR="00F21A4B" w:rsidRPr="00993C92">
        <w:rPr>
          <w:color w:val="000000" w:themeColor="text1"/>
        </w:rPr>
        <w:t>233</w:t>
      </w:r>
      <w:r w:rsidRPr="00993C92">
        <w:rPr>
          <w:color w:val="000000" w:themeColor="text1"/>
        </w:rPr>
        <w:t xml:space="preserve"> peptides in a </w:t>
      </w:r>
      <w:r w:rsidR="00B6571D" w:rsidRPr="00993C92">
        <w:rPr>
          <w:color w:val="000000" w:themeColor="text1"/>
        </w:rPr>
        <w:t xml:space="preserve">large </w:t>
      </w:r>
      <w:r w:rsidRPr="00993C92">
        <w:rPr>
          <w:color w:val="000000" w:themeColor="text1"/>
        </w:rPr>
        <w:t>cohort of 1,00</w:t>
      </w:r>
      <w:r w:rsidR="002D6594" w:rsidRPr="00993C92">
        <w:rPr>
          <w:color w:val="000000" w:themeColor="text1"/>
        </w:rPr>
        <w:t>3</w:t>
      </w:r>
      <w:r w:rsidRPr="00993C92">
        <w:rPr>
          <w:color w:val="000000" w:themeColor="text1"/>
        </w:rPr>
        <w:t xml:space="preserve"> </w:t>
      </w:r>
      <w:r w:rsidR="00B6571D" w:rsidRPr="00993C92">
        <w:rPr>
          <w:color w:val="000000" w:themeColor="text1"/>
        </w:rPr>
        <w:t xml:space="preserve">Israeli </w:t>
      </w:r>
      <w:r w:rsidRPr="00993C92">
        <w:rPr>
          <w:color w:val="000000" w:themeColor="text1"/>
        </w:rPr>
        <w:t>individuals. We show</w:t>
      </w:r>
      <w:r w:rsidR="0023546F" w:rsidRPr="00993C92">
        <w:rPr>
          <w:color w:val="000000" w:themeColor="text1"/>
        </w:rPr>
        <w:t>ed</w:t>
      </w:r>
      <w:r w:rsidRPr="00993C92">
        <w:rPr>
          <w:color w:val="000000" w:themeColor="text1"/>
        </w:rPr>
        <w:t xml:space="preserve"> that certain foods </w:t>
      </w:r>
      <w:r w:rsidR="0023546F" w:rsidRPr="00993C92">
        <w:rPr>
          <w:color w:val="000000" w:themeColor="text1"/>
        </w:rPr>
        <w:t xml:space="preserve">were </w:t>
      </w:r>
      <w:r w:rsidRPr="00993C92">
        <w:rPr>
          <w:color w:val="000000" w:themeColor="text1"/>
        </w:rPr>
        <w:t>frequently targeted by antibody responses, correlating with dietary intake, and providing a reference map of the exact immunogenic epitopes of food proteins.</w:t>
      </w:r>
    </w:p>
    <w:p w14:paraId="3CF132BC" w14:textId="01F1D673" w:rsidR="0008612E" w:rsidRPr="00993C92" w:rsidRDefault="0008612E" w:rsidP="0008612E">
      <w:pPr>
        <w:pStyle w:val="Heading1"/>
        <w:rPr>
          <w:color w:val="000000" w:themeColor="text1"/>
        </w:rPr>
      </w:pPr>
      <w:r w:rsidRPr="00993C92">
        <w:rPr>
          <w:color w:val="000000" w:themeColor="text1"/>
        </w:rPr>
        <w:t>Results</w:t>
      </w:r>
    </w:p>
    <w:p w14:paraId="3929537F" w14:textId="3CCD7CF4" w:rsidR="00955069" w:rsidRPr="00993C92" w:rsidRDefault="00462F93" w:rsidP="00955069">
      <w:pPr>
        <w:pStyle w:val="Heading2"/>
        <w:rPr>
          <w:color w:val="000000" w:themeColor="text1"/>
        </w:rPr>
      </w:pPr>
      <w:r w:rsidRPr="00993C92">
        <w:rPr>
          <w:color w:val="000000" w:themeColor="text1"/>
        </w:rPr>
        <w:t>Generated a</w:t>
      </w:r>
      <w:r w:rsidR="00955069" w:rsidRPr="00993C92">
        <w:rPr>
          <w:color w:val="000000" w:themeColor="text1"/>
        </w:rPr>
        <w:t xml:space="preserve"> library of 58,233 peptides</w:t>
      </w:r>
      <w:r w:rsidRPr="00993C92">
        <w:rPr>
          <w:color w:val="000000" w:themeColor="text1"/>
        </w:rPr>
        <w:t xml:space="preserve"> from food and environmental antigens</w:t>
      </w:r>
    </w:p>
    <w:p w14:paraId="23779A36" w14:textId="23E6A2C3" w:rsidR="000663B6" w:rsidRPr="00993C92" w:rsidRDefault="00955069" w:rsidP="00955069">
      <w:pPr>
        <w:spacing w:after="0" w:line="257" w:lineRule="auto"/>
        <w:jc w:val="both"/>
        <w:rPr>
          <w:color w:val="000000" w:themeColor="text1"/>
        </w:rPr>
      </w:pPr>
      <w:bookmarkStart w:id="6" w:name="_Hlk103784552"/>
      <w:r w:rsidRPr="00993C92">
        <w:rPr>
          <w:color w:val="000000" w:themeColor="text1"/>
        </w:rPr>
        <w:t xml:space="preserve">We applied a high throughput method relying on phage displayed synthetic oligo libraries (PhIP-Seq, </w:t>
      </w:r>
      <w:r w:rsidR="00282B43" w:rsidRPr="00993C92">
        <w:rPr>
          <w:noProof/>
          <w:color w:val="000000" w:themeColor="text1"/>
        </w:rPr>
        <w:t>(Mohan et al., 2018)</w:t>
      </w:r>
      <w:r w:rsidRPr="00993C92">
        <w:rPr>
          <w:color w:val="000000" w:themeColor="text1"/>
        </w:rPr>
        <w:t>) that allows to test for hundred</w:t>
      </w:r>
      <w:r w:rsidR="0097113C" w:rsidRPr="00993C92">
        <w:rPr>
          <w:color w:val="000000" w:themeColor="text1"/>
        </w:rPr>
        <w:t>s</w:t>
      </w:r>
      <w:r w:rsidRPr="00993C92">
        <w:rPr>
          <w:color w:val="000000" w:themeColor="text1"/>
        </w:rPr>
        <w:t xml:space="preserve"> </w:t>
      </w:r>
      <w:r w:rsidR="0097113C" w:rsidRPr="00993C92">
        <w:rPr>
          <w:color w:val="000000" w:themeColor="text1"/>
        </w:rPr>
        <w:t xml:space="preserve">of </w:t>
      </w:r>
      <w:r w:rsidRPr="00993C92">
        <w:rPr>
          <w:color w:val="000000" w:themeColor="text1"/>
        </w:rPr>
        <w:t>thousands of rationally selected peptide antigens in parallel (</w:t>
      </w:r>
      <w:r w:rsidR="009D58DF" w:rsidRPr="00993C92">
        <w:rPr>
          <w:color w:val="000000" w:themeColor="text1"/>
          <w:u w:val="single"/>
        </w:rPr>
        <w:t>Fig. 1</w:t>
      </w:r>
      <w:r w:rsidRPr="00993C92">
        <w:rPr>
          <w:color w:val="000000" w:themeColor="text1"/>
        </w:rPr>
        <w:t xml:space="preserve">a). </w:t>
      </w:r>
      <w:r w:rsidR="002E5727" w:rsidRPr="00993C92">
        <w:rPr>
          <w:color w:val="000000" w:themeColor="text1"/>
        </w:rPr>
        <w:t xml:space="preserve">With conventional ELISAs it is only possible to test a single antigen at a time. With peptide array methodologies, several thousands of antigens can be measured at once, however every antigen needs to be tediously produced or purified in advance. In contrast, PhIP-Seq allows to produce and </w:t>
      </w:r>
      <w:r w:rsidR="0097113C" w:rsidRPr="00993C92">
        <w:rPr>
          <w:color w:val="000000" w:themeColor="text1"/>
        </w:rPr>
        <w:t xml:space="preserve">to </w:t>
      </w:r>
      <w:r w:rsidR="002E5727" w:rsidRPr="00993C92">
        <w:rPr>
          <w:color w:val="000000" w:themeColor="text1"/>
        </w:rPr>
        <w:t>measure hundred</w:t>
      </w:r>
      <w:r w:rsidR="0097113C" w:rsidRPr="00993C92">
        <w:rPr>
          <w:color w:val="000000" w:themeColor="text1"/>
        </w:rPr>
        <w:t>s</w:t>
      </w:r>
      <w:r w:rsidR="002E5727" w:rsidRPr="00993C92">
        <w:rPr>
          <w:color w:val="000000" w:themeColor="text1"/>
        </w:rPr>
        <w:t xml:space="preserve"> </w:t>
      </w:r>
      <w:r w:rsidR="0097113C" w:rsidRPr="00993C92">
        <w:rPr>
          <w:color w:val="000000" w:themeColor="text1"/>
        </w:rPr>
        <w:t xml:space="preserve">of </w:t>
      </w:r>
      <w:r w:rsidR="002E5727" w:rsidRPr="00993C92">
        <w:rPr>
          <w:color w:val="000000" w:themeColor="text1"/>
        </w:rPr>
        <w:t>thousands of variants in parallel. Furthermore, the library design of PhIP-Seq can be based on protein sequences from virtually any source, that can be rationally selected (rather than cloning cDNA libraries, as performed in conventional phage display)</w:t>
      </w:r>
      <w:r w:rsidR="00C43F48" w:rsidRPr="00993C92">
        <w:rPr>
          <w:color w:val="000000" w:themeColor="text1"/>
        </w:rPr>
        <w:t xml:space="preserve"> </w:t>
      </w:r>
      <w:r w:rsidR="00282B43" w:rsidRPr="00993C92">
        <w:rPr>
          <w:noProof/>
          <w:color w:val="000000" w:themeColor="text1"/>
        </w:rPr>
        <w:t>(Mohan et al., 2018)</w:t>
      </w:r>
      <w:r w:rsidR="002E5727" w:rsidRPr="00993C92">
        <w:rPr>
          <w:color w:val="000000" w:themeColor="text1"/>
        </w:rPr>
        <w:t>.</w:t>
      </w:r>
    </w:p>
    <w:bookmarkEnd w:id="6"/>
    <w:p w14:paraId="31B5B129" w14:textId="0FAF1C82" w:rsidR="000663B6" w:rsidRPr="00993C92" w:rsidRDefault="00955069" w:rsidP="00955069">
      <w:pPr>
        <w:spacing w:after="0" w:line="257" w:lineRule="auto"/>
        <w:jc w:val="both"/>
        <w:rPr>
          <w:color w:val="000000" w:themeColor="text1"/>
        </w:rPr>
      </w:pPr>
      <w:r w:rsidRPr="00993C92">
        <w:rPr>
          <w:color w:val="000000" w:themeColor="text1"/>
        </w:rPr>
        <w:t xml:space="preserve">We </w:t>
      </w:r>
      <w:r w:rsidR="00A676EA" w:rsidRPr="00993C92">
        <w:rPr>
          <w:color w:val="000000" w:themeColor="text1"/>
        </w:rPr>
        <w:t xml:space="preserve">have </w:t>
      </w:r>
      <w:r w:rsidRPr="00993C92">
        <w:rPr>
          <w:color w:val="000000" w:themeColor="text1"/>
        </w:rPr>
        <w:t xml:space="preserve">previously implemented this methodology to profile antibody responses against microbiota at population scale </w:t>
      </w:r>
      <w:r w:rsidR="00282B43" w:rsidRPr="00993C92">
        <w:rPr>
          <w:noProof/>
          <w:color w:val="000000" w:themeColor="text1"/>
        </w:rPr>
        <w:t>(Vogl et al., 2021)</w:t>
      </w:r>
      <w:r w:rsidRPr="00993C92">
        <w:rPr>
          <w:color w:val="000000" w:themeColor="text1"/>
        </w:rPr>
        <w:t xml:space="preserve">. </w:t>
      </w:r>
      <w:bookmarkStart w:id="7" w:name="_Hlk89184333"/>
      <w:bookmarkStart w:id="8" w:name="_Hlk103784752"/>
      <w:r w:rsidRPr="00993C92">
        <w:rPr>
          <w:color w:val="000000" w:themeColor="text1"/>
        </w:rPr>
        <w:t xml:space="preserve">Here, we aimed to generate a comprehensive antigen library encompassing an array of various food and environmental proteins. Therefore, we included all proteins deposited in five allergen databases: </w:t>
      </w:r>
      <w:bookmarkEnd w:id="7"/>
      <w:r w:rsidRPr="00993C92">
        <w:rPr>
          <w:color w:val="000000" w:themeColor="text1"/>
        </w:rPr>
        <w:t xml:space="preserve">WHO/IUIS Allergen Nomenclature Database </w:t>
      </w:r>
      <w:r w:rsidR="00282B43" w:rsidRPr="00993C92">
        <w:rPr>
          <w:noProof/>
          <w:color w:val="000000" w:themeColor="text1"/>
        </w:rPr>
        <w:t>(Radauer et al., 2014)</w:t>
      </w:r>
      <w:r w:rsidRPr="00993C92">
        <w:rPr>
          <w:color w:val="000000" w:themeColor="text1"/>
        </w:rPr>
        <w:t xml:space="preserve">, Allergome </w:t>
      </w:r>
      <w:r w:rsidR="00282B43" w:rsidRPr="00993C92">
        <w:rPr>
          <w:noProof/>
          <w:color w:val="000000" w:themeColor="text1"/>
        </w:rPr>
        <w:t>(Mari et al., 2006)</w:t>
      </w:r>
      <w:r w:rsidRPr="00993C92">
        <w:rPr>
          <w:color w:val="000000" w:themeColor="text1"/>
        </w:rPr>
        <w:t xml:space="preserve">, AllergenOnline </w:t>
      </w:r>
      <w:r w:rsidR="00282B43" w:rsidRPr="00993C92">
        <w:rPr>
          <w:noProof/>
          <w:color w:val="000000" w:themeColor="text1"/>
        </w:rPr>
        <w:t>(Goodman et al., 2016)</w:t>
      </w:r>
      <w:r w:rsidRPr="00993C92">
        <w:rPr>
          <w:color w:val="000000" w:themeColor="text1"/>
        </w:rPr>
        <w:t xml:space="preserve"> (including the list of celiac proteins), the Structural Database of Allergenic Proteins (SDAP) </w:t>
      </w:r>
      <w:r w:rsidR="00282B43" w:rsidRPr="00993C92">
        <w:rPr>
          <w:noProof/>
          <w:color w:val="000000" w:themeColor="text1"/>
        </w:rPr>
        <w:t>(Ivanciuc et al., 2003)</w:t>
      </w:r>
      <w:r w:rsidRPr="00993C92">
        <w:rPr>
          <w:color w:val="000000" w:themeColor="text1"/>
        </w:rPr>
        <w:t xml:space="preserve">, and the Database of allergen families (AllFam) </w:t>
      </w:r>
      <w:r w:rsidR="00282B43" w:rsidRPr="00993C92">
        <w:rPr>
          <w:noProof/>
          <w:color w:val="000000" w:themeColor="text1"/>
        </w:rPr>
        <w:t>(Radauer et al., 2008)</w:t>
      </w:r>
      <w:r w:rsidRPr="00993C92">
        <w:rPr>
          <w:color w:val="000000" w:themeColor="text1"/>
        </w:rPr>
        <w:t xml:space="preserve">. </w:t>
      </w:r>
      <w:r w:rsidR="002E5727" w:rsidRPr="00993C92">
        <w:rPr>
          <w:color w:val="000000" w:themeColor="text1"/>
        </w:rPr>
        <w:t>These databases represent the largest collections of allergen</w:t>
      </w:r>
      <w:r w:rsidR="00B3045C" w:rsidRPr="00993C92">
        <w:rPr>
          <w:color w:val="000000" w:themeColor="text1"/>
        </w:rPr>
        <w:t>ic proteins</w:t>
      </w:r>
      <w:r w:rsidR="005204FA" w:rsidRPr="00993C92">
        <w:rPr>
          <w:color w:val="000000" w:themeColor="text1"/>
        </w:rPr>
        <w:t xml:space="preserve"> in humans</w:t>
      </w:r>
      <w:r w:rsidR="002E5727" w:rsidRPr="00993C92">
        <w:rPr>
          <w:color w:val="000000" w:themeColor="text1"/>
        </w:rPr>
        <w:t xml:space="preserve"> </w:t>
      </w:r>
      <w:r w:rsidR="000663B6" w:rsidRPr="00993C92">
        <w:rPr>
          <w:color w:val="000000" w:themeColor="text1"/>
        </w:rPr>
        <w:t xml:space="preserve">including </w:t>
      </w:r>
      <w:r w:rsidR="002E5727" w:rsidRPr="00993C92">
        <w:rPr>
          <w:color w:val="000000" w:themeColor="text1"/>
        </w:rPr>
        <w:t>varying metadata around routes of exposure</w:t>
      </w:r>
      <w:r w:rsidR="001D5B5A" w:rsidRPr="00993C92">
        <w:rPr>
          <w:color w:val="000000" w:themeColor="text1"/>
        </w:rPr>
        <w:t xml:space="preserve"> and</w:t>
      </w:r>
      <w:r w:rsidR="002E5727" w:rsidRPr="00993C92">
        <w:rPr>
          <w:color w:val="000000" w:themeColor="text1"/>
        </w:rPr>
        <w:t xml:space="preserve"> the source organisms, as well as details on the protein function of the allergens. </w:t>
      </w:r>
      <w:r w:rsidR="005D5F0B" w:rsidRPr="00993C92">
        <w:rPr>
          <w:color w:val="000000" w:themeColor="text1"/>
        </w:rPr>
        <w:t xml:space="preserve">Beyond food </w:t>
      </w:r>
      <w:r w:rsidR="005204FA" w:rsidRPr="00993C92">
        <w:rPr>
          <w:color w:val="000000" w:themeColor="text1"/>
        </w:rPr>
        <w:t>proteins</w:t>
      </w:r>
      <w:r w:rsidR="005D5F0B" w:rsidRPr="00993C92">
        <w:rPr>
          <w:color w:val="000000" w:themeColor="text1"/>
        </w:rPr>
        <w:t xml:space="preserve">, representing the primary interest of this study, these databases </w:t>
      </w:r>
      <w:r w:rsidR="00F85D71" w:rsidRPr="00993C92">
        <w:rPr>
          <w:color w:val="000000" w:themeColor="text1"/>
        </w:rPr>
        <w:t xml:space="preserve">also </w:t>
      </w:r>
      <w:r w:rsidR="005D5F0B" w:rsidRPr="00993C92">
        <w:rPr>
          <w:color w:val="000000" w:themeColor="text1"/>
        </w:rPr>
        <w:t xml:space="preserve">encompass various other allergens such as proteins from </w:t>
      </w:r>
      <w:r w:rsidR="00133D2A" w:rsidRPr="00993C92">
        <w:rPr>
          <w:color w:val="000000" w:themeColor="text1"/>
        </w:rPr>
        <w:t>dust mites</w:t>
      </w:r>
      <w:r w:rsidR="005D5F0B" w:rsidRPr="00993C92">
        <w:rPr>
          <w:color w:val="000000" w:themeColor="text1"/>
        </w:rPr>
        <w:t>, cockroaches, or bumblebees.</w:t>
      </w:r>
      <w:r w:rsidR="00133D2A" w:rsidRPr="00993C92">
        <w:rPr>
          <w:color w:val="000000" w:themeColor="text1"/>
        </w:rPr>
        <w:t xml:space="preserve"> These antigens were included</w:t>
      </w:r>
      <w:r w:rsidR="000663B6" w:rsidRPr="00993C92">
        <w:rPr>
          <w:color w:val="000000" w:themeColor="text1"/>
        </w:rPr>
        <w:t xml:space="preserve"> in our library</w:t>
      </w:r>
      <w:r w:rsidR="00133D2A" w:rsidRPr="00993C92">
        <w:rPr>
          <w:color w:val="000000" w:themeColor="text1"/>
        </w:rPr>
        <w:t xml:space="preserve">, as the annotations of the databases were not always accurate, </w:t>
      </w:r>
      <w:r w:rsidR="00A676EA" w:rsidRPr="00993C92">
        <w:rPr>
          <w:color w:val="000000" w:themeColor="text1"/>
        </w:rPr>
        <w:t xml:space="preserve">sometimes </w:t>
      </w:r>
      <w:r w:rsidR="00133D2A" w:rsidRPr="00993C92">
        <w:rPr>
          <w:color w:val="000000" w:themeColor="text1"/>
        </w:rPr>
        <w:t xml:space="preserve">not assigning foods to the correct category by default. </w:t>
      </w:r>
      <w:r w:rsidR="000663B6" w:rsidRPr="00993C92">
        <w:rPr>
          <w:color w:val="000000" w:themeColor="text1"/>
        </w:rPr>
        <w:t>Hence,</w:t>
      </w:r>
      <w:r w:rsidR="00133D2A" w:rsidRPr="00993C92">
        <w:rPr>
          <w:color w:val="000000" w:themeColor="text1"/>
        </w:rPr>
        <w:t xml:space="preserve"> we </w:t>
      </w:r>
      <w:r w:rsidR="000663B6" w:rsidRPr="00993C92">
        <w:rPr>
          <w:color w:val="000000" w:themeColor="text1"/>
        </w:rPr>
        <w:t>always processed</w:t>
      </w:r>
      <w:r w:rsidR="00133D2A" w:rsidRPr="00993C92">
        <w:rPr>
          <w:color w:val="000000" w:themeColor="text1"/>
        </w:rPr>
        <w:t xml:space="preserve"> the entire databases not to miss any food </w:t>
      </w:r>
      <w:r w:rsidR="000663B6" w:rsidRPr="00993C92">
        <w:rPr>
          <w:color w:val="000000" w:themeColor="text1"/>
        </w:rPr>
        <w:t>proteins</w:t>
      </w:r>
      <w:r w:rsidR="00133D2A" w:rsidRPr="00993C92">
        <w:rPr>
          <w:color w:val="000000" w:themeColor="text1"/>
        </w:rPr>
        <w:t>.</w:t>
      </w:r>
      <w:r w:rsidR="005D5F0B" w:rsidRPr="00993C92">
        <w:rPr>
          <w:color w:val="000000" w:themeColor="text1"/>
        </w:rPr>
        <w:t xml:space="preserve"> </w:t>
      </w:r>
      <w:r w:rsidR="00133D2A" w:rsidRPr="00993C92">
        <w:rPr>
          <w:color w:val="000000" w:themeColor="text1"/>
        </w:rPr>
        <w:t>Even though these environmental allergens had elicited only sparse antibody responses</w:t>
      </w:r>
      <w:r w:rsidR="00395C34" w:rsidRPr="00993C92">
        <w:rPr>
          <w:color w:val="000000" w:themeColor="text1"/>
        </w:rPr>
        <w:t xml:space="preserve"> in our PhIP-Seq </w:t>
      </w:r>
      <w:r w:rsidR="001F43DE" w:rsidRPr="00993C92">
        <w:rPr>
          <w:color w:val="000000" w:themeColor="text1"/>
        </w:rPr>
        <w:t>experiments</w:t>
      </w:r>
      <w:r w:rsidR="00133D2A" w:rsidRPr="00993C92">
        <w:rPr>
          <w:color w:val="000000" w:themeColor="text1"/>
        </w:rPr>
        <w:t xml:space="preserve">, they were analyzed together with the food proteins </w:t>
      </w:r>
      <w:r w:rsidR="000663B6" w:rsidRPr="00993C92">
        <w:rPr>
          <w:color w:val="000000" w:themeColor="text1"/>
        </w:rPr>
        <w:t>and not removed from the analysis pipeline: From a technical perspective, it was reassuring that despite all these different antigens had been measured in parallel, little cross-reactivity had occurred (discussed in further detail below)</w:t>
      </w:r>
      <w:r w:rsidR="00133D2A" w:rsidRPr="00993C92">
        <w:rPr>
          <w:color w:val="000000" w:themeColor="text1"/>
        </w:rPr>
        <w:t>.</w:t>
      </w:r>
    </w:p>
    <w:p w14:paraId="0174FAD2" w14:textId="5FBE9A5C" w:rsidR="00955069" w:rsidRPr="00993C92" w:rsidRDefault="00955069" w:rsidP="00955069">
      <w:pPr>
        <w:spacing w:after="0" w:line="257" w:lineRule="auto"/>
        <w:jc w:val="both"/>
        <w:rPr>
          <w:color w:val="000000" w:themeColor="text1"/>
        </w:rPr>
      </w:pPr>
      <w:r w:rsidRPr="00993C92">
        <w:rPr>
          <w:color w:val="000000" w:themeColor="text1"/>
        </w:rPr>
        <w:t xml:space="preserve">We included also nearly all B cell antigens deposited in the Immune Epitope Database (IEDB) </w:t>
      </w:r>
      <w:r w:rsidR="00282B43" w:rsidRPr="00993C92">
        <w:rPr>
          <w:noProof/>
          <w:color w:val="000000" w:themeColor="text1"/>
        </w:rPr>
        <w:t>(Vita et al., 2015)</w:t>
      </w:r>
      <w:r w:rsidRPr="00993C92">
        <w:rPr>
          <w:color w:val="000000" w:themeColor="text1"/>
        </w:rPr>
        <w:t xml:space="preserve"> (Methods section).</w:t>
      </w:r>
      <w:r w:rsidR="00AF16A8" w:rsidRPr="00993C92">
        <w:rPr>
          <w:color w:val="000000" w:themeColor="text1"/>
        </w:rPr>
        <w:t xml:space="preserve"> The IEDB contains a vast array of proteins from bacterial and viral pathogens, human proteins targeted in autoimmune responses, as well as allergens. Rather than only including the allergens from the IEDB, we included also </w:t>
      </w:r>
      <w:r w:rsidR="00C40FF6" w:rsidRPr="00993C92">
        <w:rPr>
          <w:color w:val="000000" w:themeColor="text1"/>
        </w:rPr>
        <w:t>the other antigen groups,</w:t>
      </w:r>
      <w:r w:rsidR="00AF16A8" w:rsidRPr="00993C92">
        <w:rPr>
          <w:color w:val="000000" w:themeColor="text1"/>
        </w:rPr>
        <w:t xml:space="preserve"> as these could serve as benchmarks and controls. Antibody </w:t>
      </w:r>
      <w:r w:rsidR="000F5E21" w:rsidRPr="00993C92">
        <w:rPr>
          <w:color w:val="000000" w:themeColor="text1"/>
        </w:rPr>
        <w:t xml:space="preserve">responses against food and environmental antigens can be compared against the magnitude of binding against antigens from infectious diseases. </w:t>
      </w:r>
      <w:r w:rsidR="00C40FF6" w:rsidRPr="00993C92">
        <w:rPr>
          <w:color w:val="000000" w:themeColor="text1"/>
        </w:rPr>
        <w:t>Concomitantly</w:t>
      </w:r>
      <w:r w:rsidR="000F5E21" w:rsidRPr="00993C92">
        <w:rPr>
          <w:color w:val="000000" w:themeColor="text1"/>
        </w:rPr>
        <w:t>, little binding against human proteins (</w:t>
      </w:r>
      <w:r w:rsidR="003361E1" w:rsidRPr="00993C92">
        <w:rPr>
          <w:color w:val="000000" w:themeColor="text1"/>
        </w:rPr>
        <w:t>‘</w:t>
      </w:r>
      <w:r w:rsidR="000F5E21" w:rsidRPr="00993C92">
        <w:rPr>
          <w:color w:val="000000" w:themeColor="text1"/>
        </w:rPr>
        <w:t>self</w:t>
      </w:r>
      <w:r w:rsidR="003361E1" w:rsidRPr="00993C92">
        <w:rPr>
          <w:color w:val="000000" w:themeColor="text1"/>
        </w:rPr>
        <w:t>’</w:t>
      </w:r>
      <w:r w:rsidR="000F5E21" w:rsidRPr="00993C92">
        <w:rPr>
          <w:color w:val="000000" w:themeColor="text1"/>
        </w:rPr>
        <w:t xml:space="preserve">) </w:t>
      </w:r>
      <w:r w:rsidR="00583D48" w:rsidRPr="00993C92">
        <w:rPr>
          <w:color w:val="000000" w:themeColor="text1"/>
        </w:rPr>
        <w:t>is</w:t>
      </w:r>
      <w:r w:rsidR="000F5E21" w:rsidRPr="00993C92">
        <w:rPr>
          <w:color w:val="000000" w:themeColor="text1"/>
        </w:rPr>
        <w:t xml:space="preserve"> expected in individuals</w:t>
      </w:r>
      <w:r w:rsidR="00B6571D" w:rsidRPr="00993C92">
        <w:rPr>
          <w:color w:val="000000" w:themeColor="text1"/>
        </w:rPr>
        <w:t xml:space="preserve"> not suffering from autoimmune diseases</w:t>
      </w:r>
      <w:r w:rsidR="000F5E21" w:rsidRPr="00993C92">
        <w:rPr>
          <w:color w:val="000000" w:themeColor="text1"/>
        </w:rPr>
        <w:t xml:space="preserve">, serving as a negative baseline threshold. Furthermore, by including antigens of infectious diseases, food specific antigen responses can be correlated with bacterial and viral antigens to test for </w:t>
      </w:r>
      <w:r w:rsidR="00C40FF6" w:rsidRPr="00993C92">
        <w:rPr>
          <w:color w:val="000000" w:themeColor="text1"/>
        </w:rPr>
        <w:t>associations</w:t>
      </w:r>
      <w:r w:rsidR="000F5E21" w:rsidRPr="00993C92">
        <w:rPr>
          <w:color w:val="000000" w:themeColor="text1"/>
        </w:rPr>
        <w:t xml:space="preserve"> (as anti-food Ig responses could be </w:t>
      </w:r>
      <w:r w:rsidR="00C40FF6" w:rsidRPr="00993C92">
        <w:rPr>
          <w:color w:val="000000" w:themeColor="text1"/>
        </w:rPr>
        <w:t>linked to</w:t>
      </w:r>
      <w:r w:rsidR="000F5E21" w:rsidRPr="00993C92">
        <w:rPr>
          <w:color w:val="000000" w:themeColor="text1"/>
        </w:rPr>
        <w:t xml:space="preserve"> increased antigen exposure via increased gut permeability during gastrointestinal infections).</w:t>
      </w:r>
      <w:r w:rsidR="00C40FF6" w:rsidRPr="00993C92">
        <w:rPr>
          <w:color w:val="000000" w:themeColor="text1"/>
        </w:rPr>
        <w:t xml:space="preserve"> In the following analyses, we grouped the allergens of the IEDB with the</w:t>
      </w:r>
      <w:r w:rsidR="00CE5751" w:rsidRPr="00993C92">
        <w:rPr>
          <w:color w:val="000000" w:themeColor="text1"/>
        </w:rPr>
        <w:t xml:space="preserve"> proteins from the</w:t>
      </w:r>
      <w:r w:rsidR="00C40FF6" w:rsidRPr="00993C92">
        <w:rPr>
          <w:color w:val="000000" w:themeColor="text1"/>
        </w:rPr>
        <w:t xml:space="preserve"> allergen databases (to avoid bias when comparing the latter to </w:t>
      </w:r>
      <w:r w:rsidR="007B26FC" w:rsidRPr="00993C92">
        <w:rPr>
          <w:color w:val="000000" w:themeColor="text1"/>
        </w:rPr>
        <w:lastRenderedPageBreak/>
        <w:t xml:space="preserve">antigens of </w:t>
      </w:r>
      <w:r w:rsidR="00C40FF6" w:rsidRPr="00993C92">
        <w:rPr>
          <w:color w:val="000000" w:themeColor="text1"/>
        </w:rPr>
        <w:t xml:space="preserve">infectious </w:t>
      </w:r>
      <w:r w:rsidR="007B26FC" w:rsidRPr="00993C92">
        <w:rPr>
          <w:color w:val="000000" w:themeColor="text1"/>
        </w:rPr>
        <w:t xml:space="preserve">diseases </w:t>
      </w:r>
      <w:r w:rsidR="00C40FF6" w:rsidRPr="00993C92">
        <w:rPr>
          <w:color w:val="000000" w:themeColor="text1"/>
        </w:rPr>
        <w:t>or auto-antigens</w:t>
      </w:r>
      <w:r w:rsidR="00CE53CD" w:rsidRPr="00993C92">
        <w:rPr>
          <w:color w:val="000000" w:themeColor="text1"/>
        </w:rPr>
        <w:t xml:space="preserve">, and to </w:t>
      </w:r>
      <w:r w:rsidR="00CE53CD" w:rsidRPr="00993C92">
        <w:t>avoid duplication of proteins [as there was a substantial overlap between databases]</w:t>
      </w:r>
      <w:r w:rsidR="00C40FF6" w:rsidRPr="00993C92">
        <w:rPr>
          <w:color w:val="000000" w:themeColor="text1"/>
        </w:rPr>
        <w:t>).</w:t>
      </w:r>
      <w:bookmarkEnd w:id="8"/>
    </w:p>
    <w:p w14:paraId="7FC6E8EE" w14:textId="1550240D" w:rsidR="00955069" w:rsidRPr="00993C92" w:rsidRDefault="00955069" w:rsidP="00955069">
      <w:pPr>
        <w:spacing w:after="120" w:line="257" w:lineRule="auto"/>
        <w:jc w:val="both"/>
        <w:rPr>
          <w:color w:val="000000" w:themeColor="text1"/>
        </w:rPr>
      </w:pPr>
      <w:r w:rsidRPr="00993C92">
        <w:rPr>
          <w:color w:val="000000" w:themeColor="text1"/>
        </w:rPr>
        <w:t>Overall, 7,541 proteins were divided into 58,233 peptides (length of 54 amino acids with overlaps of 20 amino acids), allowing for high-resolution, epitope-resolved analysis of protein segments targeted by antibodies. In detail, 25,527 peptides from allergen databases, 31,436 peptides from the IEDB, and 1,270 peptides of various positive and negative controls were included (</w:t>
      </w:r>
      <w:r w:rsidR="009D58DF" w:rsidRPr="00993C92">
        <w:rPr>
          <w:color w:val="000000" w:themeColor="text1"/>
          <w:u w:val="single"/>
        </w:rPr>
        <w:t>Fig. 1</w:t>
      </w:r>
      <w:r w:rsidRPr="00993C92">
        <w:rPr>
          <w:color w:val="000000" w:themeColor="text1"/>
        </w:rPr>
        <w:t xml:space="preserve">b). The peptides were encoded in </w:t>
      </w:r>
      <w:r w:rsidRPr="00993C92">
        <w:rPr>
          <w:i/>
          <w:color w:val="000000" w:themeColor="text1"/>
        </w:rPr>
        <w:t>Escherichia coli</w:t>
      </w:r>
      <w:r w:rsidRPr="00993C92">
        <w:rPr>
          <w:color w:val="000000" w:themeColor="text1"/>
        </w:rPr>
        <w:t xml:space="preserve"> codon usage and barcoded within the coding sequence (CDS) for identification (</w:t>
      </w:r>
      <w:r w:rsidR="00DF04BD" w:rsidRPr="00993C92">
        <w:rPr>
          <w:color w:val="000000" w:themeColor="text1"/>
        </w:rPr>
        <w:t>STAR m</w:t>
      </w:r>
      <w:r w:rsidRPr="00993C92">
        <w:rPr>
          <w:color w:val="000000" w:themeColor="text1"/>
        </w:rPr>
        <w:t xml:space="preserve">ethods and ref. </w:t>
      </w:r>
      <w:r w:rsidR="00282B43" w:rsidRPr="00993C92">
        <w:rPr>
          <w:noProof/>
          <w:color w:val="000000" w:themeColor="text1"/>
        </w:rPr>
        <w:t>(Vogl et al., 2021)</w:t>
      </w:r>
      <w:r w:rsidRPr="00993C92">
        <w:rPr>
          <w:color w:val="000000" w:themeColor="text1"/>
        </w:rPr>
        <w:t xml:space="preserve">). The experimental workflow was optimized and validated as outlined previously </w:t>
      </w:r>
      <w:r w:rsidR="00282B43" w:rsidRPr="00993C92">
        <w:rPr>
          <w:noProof/>
          <w:color w:val="000000" w:themeColor="text1"/>
        </w:rPr>
        <w:t>(Vogl et al., 2021)</w:t>
      </w:r>
      <w:r w:rsidR="003361E1" w:rsidRPr="00993C92">
        <w:rPr>
          <w:color w:val="000000" w:themeColor="text1"/>
        </w:rPr>
        <w:t xml:space="preserve"> </w:t>
      </w:r>
      <w:r w:rsidR="00C8253B" w:rsidRPr="00993C92">
        <w:rPr>
          <w:color w:val="000000" w:themeColor="text1"/>
        </w:rPr>
        <w:t>by</w:t>
      </w:r>
      <w:r w:rsidR="003361E1" w:rsidRPr="00993C92">
        <w:rPr>
          <w:color w:val="000000" w:themeColor="text1"/>
        </w:rPr>
        <w:t xml:space="preserve"> a series of controls metrics yielding reliable results </w:t>
      </w:r>
      <w:r w:rsidR="00C8253B" w:rsidRPr="00993C92">
        <w:rPr>
          <w:color w:val="000000" w:themeColor="text1"/>
        </w:rPr>
        <w:t>(</w:t>
      </w:r>
      <w:r w:rsidR="00F83550" w:rsidRPr="00993C92">
        <w:rPr>
          <w:color w:val="000000" w:themeColor="text1"/>
        </w:rPr>
        <w:t>Figure S 1</w:t>
      </w:r>
      <w:r w:rsidR="00C8253B" w:rsidRPr="00993C92">
        <w:rPr>
          <w:color w:val="000000" w:themeColor="text1"/>
        </w:rPr>
        <w:t>)</w:t>
      </w:r>
      <w:r w:rsidRPr="00993C92">
        <w:rPr>
          <w:color w:val="000000" w:themeColor="text1"/>
        </w:rPr>
        <w:t>.</w:t>
      </w:r>
    </w:p>
    <w:p w14:paraId="7B9F821A" w14:textId="74407030" w:rsidR="00B56EEF" w:rsidRPr="00993C92" w:rsidRDefault="00732384" w:rsidP="00B56EEF">
      <w:pPr>
        <w:pStyle w:val="Heading2"/>
        <w:rPr>
          <w:color w:val="000000" w:themeColor="text1"/>
        </w:rPr>
      </w:pPr>
      <w:r w:rsidRPr="00993C92">
        <w:rPr>
          <w:color w:val="000000" w:themeColor="text1"/>
        </w:rPr>
        <w:t>Measure</w:t>
      </w:r>
      <w:r w:rsidR="00775187" w:rsidRPr="00993C92">
        <w:rPr>
          <w:color w:val="000000" w:themeColor="text1"/>
        </w:rPr>
        <w:t>d</w:t>
      </w:r>
      <w:r w:rsidRPr="00993C92">
        <w:rPr>
          <w:color w:val="000000" w:themeColor="text1"/>
        </w:rPr>
        <w:t xml:space="preserve"> p</w:t>
      </w:r>
      <w:r w:rsidR="00B56EEF" w:rsidRPr="00993C92">
        <w:rPr>
          <w:color w:val="000000" w:themeColor="text1"/>
        </w:rPr>
        <w:t xml:space="preserve">opulation-scale Ig responses against food </w:t>
      </w:r>
      <w:r w:rsidR="000B5760" w:rsidRPr="00993C92">
        <w:rPr>
          <w:color w:val="000000" w:themeColor="text1"/>
        </w:rPr>
        <w:t>proteins</w:t>
      </w:r>
    </w:p>
    <w:p w14:paraId="3B4CA581" w14:textId="4A1B653C" w:rsidR="00A8084B" w:rsidRPr="00993C92" w:rsidRDefault="009D6354" w:rsidP="009D6354">
      <w:pPr>
        <w:spacing w:after="0" w:line="257" w:lineRule="auto"/>
        <w:jc w:val="both"/>
        <w:rPr>
          <w:color w:val="000000" w:themeColor="text1"/>
        </w:rPr>
      </w:pPr>
      <w:r w:rsidRPr="00993C92">
        <w:rPr>
          <w:color w:val="000000" w:themeColor="text1"/>
        </w:rPr>
        <w:t xml:space="preserve">With this large library of food and </w:t>
      </w:r>
      <w:r w:rsidR="00883ED2" w:rsidRPr="00993C92">
        <w:rPr>
          <w:color w:val="000000" w:themeColor="text1"/>
        </w:rPr>
        <w:t>environmental</w:t>
      </w:r>
      <w:r w:rsidRPr="00993C92">
        <w:rPr>
          <w:color w:val="000000" w:themeColor="text1"/>
        </w:rPr>
        <w:t xml:space="preserve"> proteins available, we measured the serum antibody responses of 1,003 </w:t>
      </w:r>
      <w:r w:rsidR="00B6571D" w:rsidRPr="00993C92">
        <w:rPr>
          <w:color w:val="000000" w:themeColor="text1"/>
        </w:rPr>
        <w:t>Israeli</w:t>
      </w:r>
      <w:r w:rsidRPr="00993C92">
        <w:rPr>
          <w:color w:val="000000" w:themeColor="text1"/>
        </w:rPr>
        <w:t xml:space="preserve"> individuals. </w:t>
      </w:r>
      <w:r w:rsidR="00B6571D" w:rsidRPr="00993C92">
        <w:rPr>
          <w:color w:val="000000" w:themeColor="text1"/>
        </w:rPr>
        <w:t xml:space="preserve">While </w:t>
      </w:r>
      <w:r w:rsidR="005F59D1" w:rsidRPr="00993C92">
        <w:rPr>
          <w:color w:val="000000" w:themeColor="text1"/>
        </w:rPr>
        <w:t>severe</w:t>
      </w:r>
      <w:r w:rsidR="006D753F" w:rsidRPr="00993C92">
        <w:rPr>
          <w:color w:val="000000" w:themeColor="text1"/>
        </w:rPr>
        <w:t xml:space="preserve"> conditions (chronic inflammation, gastrointestinal issues, cancer etc.) were excluded</w:t>
      </w:r>
      <w:r w:rsidR="00B6571D" w:rsidRPr="00993C92">
        <w:rPr>
          <w:color w:val="000000" w:themeColor="text1"/>
        </w:rPr>
        <w:t xml:space="preserve">, this cohorts exhibits a range of health issues frequently observed in populations </w:t>
      </w:r>
      <w:r w:rsidR="00B71128" w:rsidRPr="00993C92">
        <w:rPr>
          <w:color w:val="000000" w:themeColor="text1"/>
        </w:rPr>
        <w:t xml:space="preserve">with a western lifestyle </w:t>
      </w:r>
      <w:r w:rsidR="00B6571D" w:rsidRPr="00993C92">
        <w:rPr>
          <w:color w:val="000000" w:themeColor="text1"/>
        </w:rPr>
        <w:t>such as obesity</w:t>
      </w:r>
      <w:r w:rsidR="005F59D1" w:rsidRPr="00993C92">
        <w:rPr>
          <w:color w:val="000000" w:themeColor="text1"/>
        </w:rPr>
        <w:t xml:space="preserve"> (see </w:t>
      </w:r>
      <w:r w:rsidR="00282B43" w:rsidRPr="00993C92">
        <w:rPr>
          <w:noProof/>
          <w:color w:val="000000" w:themeColor="text1"/>
        </w:rPr>
        <w:t>(Zeevi et al., 2015)</w:t>
      </w:r>
      <w:r w:rsidR="00234960" w:rsidRPr="00993C92">
        <w:rPr>
          <w:color w:val="000000" w:themeColor="text1"/>
        </w:rPr>
        <w:t xml:space="preserve"> </w:t>
      </w:r>
      <w:r w:rsidR="005F59D1" w:rsidRPr="00993C92">
        <w:rPr>
          <w:color w:val="000000" w:themeColor="text1"/>
        </w:rPr>
        <w:t xml:space="preserve">for detailed recruitment criteria and cohort characteristics). </w:t>
      </w:r>
      <w:r w:rsidR="00590094" w:rsidRPr="00993C92">
        <w:rPr>
          <w:color w:val="000000" w:themeColor="text1"/>
        </w:rPr>
        <w:t>Environmental and food allergies were not explicit exclusion criteria for enrollment in the study (</w:t>
      </w:r>
      <w:r w:rsidR="004555DB" w:rsidRPr="00993C92">
        <w:rPr>
          <w:color w:val="000000" w:themeColor="text1"/>
        </w:rPr>
        <w:t xml:space="preserve">implications elaborated in the </w:t>
      </w:r>
      <w:r w:rsidR="00590094" w:rsidRPr="00993C92">
        <w:rPr>
          <w:color w:val="000000" w:themeColor="text1"/>
        </w:rPr>
        <w:t xml:space="preserve">discussion section). </w:t>
      </w:r>
      <w:r w:rsidRPr="00993C92">
        <w:rPr>
          <w:color w:val="000000" w:themeColor="text1"/>
        </w:rPr>
        <w:t>We had previously analyzed serum Ig repertoires</w:t>
      </w:r>
      <w:r w:rsidR="00B85382" w:rsidRPr="00993C92">
        <w:rPr>
          <w:color w:val="000000" w:themeColor="text1"/>
        </w:rPr>
        <w:t xml:space="preserve"> against microbiota</w:t>
      </w:r>
      <w:r w:rsidRPr="00993C92">
        <w:rPr>
          <w:color w:val="000000" w:themeColor="text1"/>
        </w:rPr>
        <w:t xml:space="preserve"> of nearly the same individuals and details on the cohort have been published </w:t>
      </w:r>
      <w:r w:rsidR="00282B43" w:rsidRPr="00993C92">
        <w:rPr>
          <w:noProof/>
          <w:color w:val="000000" w:themeColor="text1"/>
        </w:rPr>
        <w:t>(Vogl et al., 2021; Zeevi et al., 2015)</w:t>
      </w:r>
      <w:r w:rsidRPr="00993C92">
        <w:rPr>
          <w:color w:val="000000" w:themeColor="text1"/>
        </w:rPr>
        <w:t xml:space="preserve">. In short, the participants were aged 17–70 years with metadata such as metagenomics sequencing </w:t>
      </w:r>
      <w:r w:rsidR="00B85382" w:rsidRPr="00993C92">
        <w:rPr>
          <w:color w:val="000000" w:themeColor="text1"/>
        </w:rPr>
        <w:t xml:space="preserve">and blood tests </w:t>
      </w:r>
      <w:r w:rsidRPr="00993C92">
        <w:rPr>
          <w:color w:val="000000" w:themeColor="text1"/>
        </w:rPr>
        <w:t xml:space="preserve">available. Overall, we tested 58 million antibody–peptide interactions (58,233 epitopes in each of the 1,003 individuals). On average </w:t>
      </w:r>
      <w:r w:rsidR="00F250B1" w:rsidRPr="00993C92">
        <w:rPr>
          <w:color w:val="000000" w:themeColor="text1"/>
        </w:rPr>
        <w:t>322</w:t>
      </w:r>
      <w:r w:rsidR="007A6E44" w:rsidRPr="00993C92">
        <w:rPr>
          <w:color w:val="000000" w:themeColor="text1"/>
        </w:rPr>
        <w:t>±106</w:t>
      </w:r>
      <w:r w:rsidRPr="00993C92">
        <w:rPr>
          <w:color w:val="000000" w:themeColor="text1"/>
        </w:rPr>
        <w:t xml:space="preserve"> peptides were significantly enriched per individual (by scoring against input reads</w:t>
      </w:r>
      <w:r w:rsidR="002876A0" w:rsidRPr="00993C92">
        <w:rPr>
          <w:color w:val="000000" w:themeColor="text1"/>
        </w:rPr>
        <w:t xml:space="preserve"> and Bonferroni correction, </w:t>
      </w:r>
      <w:r w:rsidRPr="00993C92">
        <w:rPr>
          <w:color w:val="000000" w:themeColor="text1"/>
        </w:rPr>
        <w:t xml:space="preserve">as described in the </w:t>
      </w:r>
      <w:r w:rsidR="00DF04BD" w:rsidRPr="00993C92">
        <w:rPr>
          <w:color w:val="000000" w:themeColor="text1"/>
        </w:rPr>
        <w:t>STAR m</w:t>
      </w:r>
      <w:r w:rsidRPr="00993C92">
        <w:rPr>
          <w:color w:val="000000" w:themeColor="text1"/>
        </w:rPr>
        <w:t xml:space="preserve">ethods, </w:t>
      </w:r>
      <w:r w:rsidR="00092EA7" w:rsidRPr="00993C92">
        <w:rPr>
          <w:color w:val="000000" w:themeColor="text1"/>
          <w:u w:val="single"/>
        </w:rPr>
        <w:t>Fig. 1</w:t>
      </w:r>
      <w:r w:rsidRPr="00993C92">
        <w:rPr>
          <w:color w:val="000000" w:themeColor="text1"/>
        </w:rPr>
        <w:t>c).</w:t>
      </w:r>
    </w:p>
    <w:p w14:paraId="6C06DBB6" w14:textId="0B70F91A" w:rsidR="000E494E" w:rsidRPr="00993C92" w:rsidRDefault="00485ABB" w:rsidP="00D0171B">
      <w:pPr>
        <w:spacing w:after="0" w:line="257" w:lineRule="auto"/>
        <w:jc w:val="both"/>
        <w:rPr>
          <w:color w:val="000000" w:themeColor="text1"/>
        </w:rPr>
      </w:pPr>
      <w:r w:rsidRPr="00993C92">
        <w:rPr>
          <w:color w:val="000000" w:themeColor="text1"/>
        </w:rPr>
        <w:t xml:space="preserve">Antigens deposited in the IEDB were </w:t>
      </w:r>
      <w:r w:rsidR="00A86D73" w:rsidRPr="00993C92">
        <w:rPr>
          <w:color w:val="000000" w:themeColor="text1"/>
        </w:rPr>
        <w:t xml:space="preserve">significantly </w:t>
      </w:r>
      <w:r w:rsidRPr="00993C92">
        <w:rPr>
          <w:color w:val="000000" w:themeColor="text1"/>
        </w:rPr>
        <w:t>more abundantly bound than food proteins selected from allergen databases (</w:t>
      </w:r>
      <w:r w:rsidR="00AD3063" w:rsidRPr="00993C92">
        <w:rPr>
          <w:rFonts w:eastAsia="Times New Roman"/>
          <w:color w:val="000000" w:themeColor="text1"/>
        </w:rPr>
        <w:t>Mann-Whitney</w:t>
      </w:r>
      <w:r w:rsidR="00A86D73" w:rsidRPr="00993C92">
        <w:rPr>
          <w:color w:val="000000" w:themeColor="text1"/>
        </w:rPr>
        <w:t xml:space="preserve"> p-value &lt;10</w:t>
      </w:r>
      <w:r w:rsidR="00A86D73" w:rsidRPr="00993C92">
        <w:rPr>
          <w:color w:val="000000" w:themeColor="text1"/>
          <w:vertAlign w:val="superscript"/>
        </w:rPr>
        <w:t>-111</w:t>
      </w:r>
      <w:r w:rsidR="00A86D73" w:rsidRPr="00993C92">
        <w:rPr>
          <w:color w:val="000000" w:themeColor="text1"/>
        </w:rPr>
        <w:t xml:space="preserve">, </w:t>
      </w:r>
      <w:r w:rsidR="00092EA7" w:rsidRPr="00993C92">
        <w:rPr>
          <w:color w:val="000000" w:themeColor="text1"/>
          <w:u w:val="single"/>
        </w:rPr>
        <w:t>Fig. 1</w:t>
      </w:r>
      <w:r w:rsidRPr="00993C92">
        <w:rPr>
          <w:color w:val="000000" w:themeColor="text1"/>
        </w:rPr>
        <w:t>d</w:t>
      </w:r>
      <w:r w:rsidR="00D0171B" w:rsidRPr="00993C92">
        <w:rPr>
          <w:color w:val="000000" w:themeColor="text1"/>
        </w:rPr>
        <w:t>,e</w:t>
      </w:r>
      <w:r w:rsidRPr="00993C92">
        <w:rPr>
          <w:color w:val="000000" w:themeColor="text1"/>
        </w:rPr>
        <w:t xml:space="preserve">). </w:t>
      </w:r>
      <w:r w:rsidR="00D43A14" w:rsidRPr="00993C92">
        <w:rPr>
          <w:color w:val="000000" w:themeColor="text1"/>
        </w:rPr>
        <w:t xml:space="preserve">This result was expected, as the IEDB contains many antigens of infectious diseases, that </w:t>
      </w:r>
      <w:r w:rsidR="00604933" w:rsidRPr="00993C92">
        <w:rPr>
          <w:color w:val="000000" w:themeColor="text1"/>
        </w:rPr>
        <w:t>are</w:t>
      </w:r>
      <w:r w:rsidR="00D43A14" w:rsidRPr="00993C92">
        <w:rPr>
          <w:color w:val="000000" w:themeColor="text1"/>
        </w:rPr>
        <w:t xml:space="preserve"> known to be targeted by </w:t>
      </w:r>
      <w:r w:rsidR="00CE53CD" w:rsidRPr="00993C92">
        <w:rPr>
          <w:color w:val="000000" w:themeColor="text1"/>
        </w:rPr>
        <w:t>antibodies</w:t>
      </w:r>
      <w:r w:rsidR="00D43A14" w:rsidRPr="00993C92">
        <w:rPr>
          <w:color w:val="000000" w:themeColor="text1"/>
        </w:rPr>
        <w:t xml:space="preserve"> </w:t>
      </w:r>
      <w:r w:rsidR="00604933" w:rsidRPr="00993C92">
        <w:rPr>
          <w:color w:val="000000" w:themeColor="text1"/>
        </w:rPr>
        <w:t xml:space="preserve">either </w:t>
      </w:r>
      <w:r w:rsidR="00D43A14" w:rsidRPr="00993C92">
        <w:rPr>
          <w:color w:val="000000" w:themeColor="text1"/>
        </w:rPr>
        <w:t xml:space="preserve">from </w:t>
      </w:r>
      <w:r w:rsidR="00604933" w:rsidRPr="00993C92">
        <w:rPr>
          <w:color w:val="000000" w:themeColor="text1"/>
        </w:rPr>
        <w:t xml:space="preserve">previous </w:t>
      </w:r>
      <w:r w:rsidR="00D43A14" w:rsidRPr="00993C92">
        <w:rPr>
          <w:color w:val="000000" w:themeColor="text1"/>
        </w:rPr>
        <w:t xml:space="preserve">infections or </w:t>
      </w:r>
      <w:r w:rsidR="00604933" w:rsidRPr="00993C92">
        <w:rPr>
          <w:color w:val="000000" w:themeColor="text1"/>
        </w:rPr>
        <w:t xml:space="preserve">from </w:t>
      </w:r>
      <w:r w:rsidR="00D43A14" w:rsidRPr="00993C92">
        <w:rPr>
          <w:color w:val="000000" w:themeColor="text1"/>
        </w:rPr>
        <w:t>vaccination</w:t>
      </w:r>
      <w:r w:rsidR="00B85382" w:rsidRPr="00993C92">
        <w:rPr>
          <w:color w:val="000000" w:themeColor="text1"/>
        </w:rPr>
        <w:t xml:space="preserve"> (see </w:t>
      </w:r>
      <w:r w:rsidR="00F83550" w:rsidRPr="00993C92">
        <w:rPr>
          <w:color w:val="000000" w:themeColor="text1"/>
        </w:rPr>
        <w:t>Table S 1</w:t>
      </w:r>
      <w:r w:rsidR="00B85382" w:rsidRPr="00993C92">
        <w:rPr>
          <w:color w:val="000000" w:themeColor="text1"/>
        </w:rPr>
        <w:t xml:space="preserve"> for a list)</w:t>
      </w:r>
      <w:r w:rsidR="00D43A14" w:rsidRPr="00993C92">
        <w:rPr>
          <w:color w:val="000000" w:themeColor="text1"/>
        </w:rPr>
        <w:t xml:space="preserve">. </w:t>
      </w:r>
      <w:r w:rsidR="000B5760" w:rsidRPr="00993C92">
        <w:rPr>
          <w:color w:val="000000" w:themeColor="text1"/>
        </w:rPr>
        <w:t>Concomitantly</w:t>
      </w:r>
      <w:r w:rsidR="00D43A14" w:rsidRPr="00993C92">
        <w:rPr>
          <w:color w:val="000000" w:themeColor="text1"/>
        </w:rPr>
        <w:t xml:space="preserve">, the food proteins deposited in </w:t>
      </w:r>
      <w:r w:rsidR="00F554AE" w:rsidRPr="00993C92">
        <w:rPr>
          <w:color w:val="000000" w:themeColor="text1"/>
        </w:rPr>
        <w:t xml:space="preserve">the </w:t>
      </w:r>
      <w:r w:rsidR="00D43A14" w:rsidRPr="00993C92">
        <w:rPr>
          <w:color w:val="000000" w:themeColor="text1"/>
        </w:rPr>
        <w:t xml:space="preserve">databases, </w:t>
      </w:r>
      <w:r w:rsidR="00684CB7" w:rsidRPr="00993C92">
        <w:rPr>
          <w:color w:val="000000" w:themeColor="text1"/>
        </w:rPr>
        <w:t xml:space="preserve">have been reported to elicit </w:t>
      </w:r>
      <w:r w:rsidR="00D43A14" w:rsidRPr="00993C92">
        <w:rPr>
          <w:color w:val="000000" w:themeColor="text1"/>
        </w:rPr>
        <w:t xml:space="preserve">IgE responses in </w:t>
      </w:r>
      <w:r w:rsidR="00A8084B" w:rsidRPr="00993C92">
        <w:rPr>
          <w:color w:val="000000" w:themeColor="text1"/>
        </w:rPr>
        <w:t xml:space="preserve">relatively </w:t>
      </w:r>
      <w:r w:rsidR="00D43A14" w:rsidRPr="00993C92">
        <w:rPr>
          <w:color w:val="000000" w:themeColor="text1"/>
        </w:rPr>
        <w:t xml:space="preserve">few </w:t>
      </w:r>
      <w:r w:rsidR="00A8084B" w:rsidRPr="00993C92">
        <w:rPr>
          <w:color w:val="000000" w:themeColor="text1"/>
        </w:rPr>
        <w:t>allergic</w:t>
      </w:r>
      <w:r w:rsidR="000E494E" w:rsidRPr="00993C92">
        <w:rPr>
          <w:color w:val="000000" w:themeColor="text1"/>
        </w:rPr>
        <w:t xml:space="preserve"> individuals</w:t>
      </w:r>
      <w:r w:rsidR="00A8084B" w:rsidRPr="00993C92">
        <w:rPr>
          <w:color w:val="000000" w:themeColor="text1"/>
        </w:rPr>
        <w:t xml:space="preserve">, in line with their underrepresentation compared to the IEDB. </w:t>
      </w:r>
      <w:bookmarkStart w:id="9" w:name="_Hlk112752117"/>
      <w:r w:rsidR="00A8084B" w:rsidRPr="00993C92">
        <w:rPr>
          <w:color w:val="000000" w:themeColor="text1"/>
        </w:rPr>
        <w:t xml:space="preserve">However, </w:t>
      </w:r>
      <w:r w:rsidR="005F7F16" w:rsidRPr="00993C92">
        <w:rPr>
          <w:color w:val="000000" w:themeColor="text1"/>
        </w:rPr>
        <w:t xml:space="preserve">we detected </w:t>
      </w:r>
      <w:r w:rsidR="00F37D09" w:rsidRPr="00993C92">
        <w:rPr>
          <w:color w:val="000000" w:themeColor="text1"/>
        </w:rPr>
        <w:t>abundant antibody responses</w:t>
      </w:r>
      <w:r w:rsidR="005F7F16" w:rsidRPr="00993C92">
        <w:rPr>
          <w:color w:val="000000" w:themeColor="text1"/>
        </w:rPr>
        <w:t xml:space="preserve"> against certain peptides of food proteins</w:t>
      </w:r>
      <w:r w:rsidR="00F37D09" w:rsidRPr="00993C92">
        <w:rPr>
          <w:color w:val="000000" w:themeColor="text1"/>
        </w:rPr>
        <w:t xml:space="preserve"> in </w:t>
      </w:r>
      <w:r w:rsidR="004937C0" w:rsidRPr="00993C92">
        <w:rPr>
          <w:color w:val="000000" w:themeColor="text1"/>
        </w:rPr>
        <w:t xml:space="preserve">approximately </w:t>
      </w:r>
      <w:r w:rsidR="000B5760" w:rsidRPr="00993C92">
        <w:rPr>
          <w:color w:val="000000" w:themeColor="text1"/>
        </w:rPr>
        <w:t>half</w:t>
      </w:r>
      <w:r w:rsidR="00F37D09" w:rsidRPr="00993C92">
        <w:rPr>
          <w:color w:val="000000" w:themeColor="text1"/>
        </w:rPr>
        <w:t xml:space="preserve"> of </w:t>
      </w:r>
      <w:r w:rsidR="00E0726B" w:rsidRPr="00993C92">
        <w:rPr>
          <w:color w:val="000000" w:themeColor="text1"/>
        </w:rPr>
        <w:t>the</w:t>
      </w:r>
      <w:r w:rsidR="00F37D09" w:rsidRPr="00993C92">
        <w:rPr>
          <w:color w:val="000000" w:themeColor="text1"/>
        </w:rPr>
        <w:t xml:space="preserve"> cohort</w:t>
      </w:r>
      <w:r w:rsidR="00773ADB" w:rsidRPr="00993C92">
        <w:rPr>
          <w:color w:val="000000" w:themeColor="text1"/>
        </w:rPr>
        <w:t xml:space="preserve"> (</w:t>
      </w:r>
      <w:r w:rsidR="00092EA7" w:rsidRPr="00993C92">
        <w:rPr>
          <w:color w:val="000000" w:themeColor="text1"/>
          <w:u w:val="single"/>
        </w:rPr>
        <w:t>Fig. 1</w:t>
      </w:r>
      <w:r w:rsidR="00773ADB" w:rsidRPr="00993C92">
        <w:rPr>
          <w:color w:val="000000" w:themeColor="text1"/>
        </w:rPr>
        <w:t>d,</w:t>
      </w:r>
      <w:r w:rsidR="006223C1" w:rsidRPr="00993C92">
        <w:rPr>
          <w:color w:val="000000" w:themeColor="text1"/>
        </w:rPr>
        <w:t xml:space="preserve"> </w:t>
      </w:r>
      <w:r w:rsidR="00092EA7" w:rsidRPr="00993C92">
        <w:rPr>
          <w:color w:val="000000" w:themeColor="text1"/>
          <w:u w:val="single"/>
        </w:rPr>
        <w:t>Fig. 2</w:t>
      </w:r>
      <w:r w:rsidR="006223C1" w:rsidRPr="00993C92">
        <w:rPr>
          <w:color w:val="000000" w:themeColor="text1"/>
        </w:rPr>
        <w:t xml:space="preserve">a, </w:t>
      </w:r>
      <w:r w:rsidR="00F83550" w:rsidRPr="00993C92">
        <w:rPr>
          <w:color w:val="000000" w:themeColor="text1"/>
        </w:rPr>
        <w:t>Table S 1</w:t>
      </w:r>
      <w:r w:rsidR="00773ADB" w:rsidRPr="00993C92">
        <w:rPr>
          <w:color w:val="000000" w:themeColor="text1"/>
        </w:rPr>
        <w:t>)</w:t>
      </w:r>
      <w:r w:rsidR="00F37D09" w:rsidRPr="00993C92">
        <w:rPr>
          <w:color w:val="000000" w:themeColor="text1"/>
        </w:rPr>
        <w:t>.</w:t>
      </w:r>
      <w:bookmarkEnd w:id="9"/>
      <w:r w:rsidR="00773ADB" w:rsidRPr="00993C92">
        <w:rPr>
          <w:color w:val="000000" w:themeColor="text1"/>
        </w:rPr>
        <w:t xml:space="preserve"> Some peptides of the cow milk protein casein were bound in up to 53% of </w:t>
      </w:r>
      <w:r w:rsidR="00BD7EC2" w:rsidRPr="00993C92">
        <w:rPr>
          <w:color w:val="000000" w:themeColor="text1"/>
        </w:rPr>
        <w:t>individuals</w:t>
      </w:r>
      <w:r w:rsidR="003A3749" w:rsidRPr="00993C92">
        <w:rPr>
          <w:color w:val="000000" w:themeColor="text1"/>
        </w:rPr>
        <w:t xml:space="preserve"> and</w:t>
      </w:r>
      <w:r w:rsidR="00773ADB" w:rsidRPr="00993C92">
        <w:rPr>
          <w:color w:val="000000" w:themeColor="text1"/>
        </w:rPr>
        <w:t xml:space="preserve"> </w:t>
      </w:r>
      <w:r w:rsidR="00BD7EC2" w:rsidRPr="00993C92">
        <w:rPr>
          <w:color w:val="000000" w:themeColor="text1"/>
        </w:rPr>
        <w:t xml:space="preserve">antibodies against </w:t>
      </w:r>
      <w:r w:rsidR="00773ADB" w:rsidRPr="00993C92">
        <w:rPr>
          <w:color w:val="000000" w:themeColor="text1"/>
        </w:rPr>
        <w:t xml:space="preserve">casein from </w:t>
      </w:r>
      <w:r w:rsidR="001138C6" w:rsidRPr="00993C92">
        <w:rPr>
          <w:color w:val="000000" w:themeColor="text1"/>
        </w:rPr>
        <w:t xml:space="preserve">water buffalo (peptides bound in up to 43% of </w:t>
      </w:r>
      <w:r w:rsidR="00667C1A" w:rsidRPr="00993C92">
        <w:rPr>
          <w:color w:val="000000" w:themeColor="text1"/>
        </w:rPr>
        <w:t>individuals</w:t>
      </w:r>
      <w:r w:rsidR="001138C6" w:rsidRPr="00993C92">
        <w:rPr>
          <w:color w:val="000000" w:themeColor="text1"/>
        </w:rPr>
        <w:t xml:space="preserve">) and sheep (up to 41%) were frequently </w:t>
      </w:r>
      <w:r w:rsidR="00BD7EC2" w:rsidRPr="00993C92">
        <w:rPr>
          <w:color w:val="000000" w:themeColor="text1"/>
        </w:rPr>
        <w:t>detected</w:t>
      </w:r>
      <w:r w:rsidR="001138C6" w:rsidRPr="00993C92">
        <w:rPr>
          <w:color w:val="000000" w:themeColor="text1"/>
        </w:rPr>
        <w:t xml:space="preserve">, possibly owing to </w:t>
      </w:r>
      <w:r w:rsidR="009F7907" w:rsidRPr="00993C92">
        <w:rPr>
          <w:color w:val="000000" w:themeColor="text1"/>
        </w:rPr>
        <w:t>cross-</w:t>
      </w:r>
      <w:r w:rsidR="001138C6" w:rsidRPr="00993C92">
        <w:rPr>
          <w:color w:val="000000" w:themeColor="text1"/>
        </w:rPr>
        <w:t xml:space="preserve">reactivity between </w:t>
      </w:r>
      <w:r w:rsidR="00FB14F5" w:rsidRPr="00993C92">
        <w:rPr>
          <w:color w:val="000000" w:themeColor="text1"/>
        </w:rPr>
        <w:t>highly similar sequences of domestic even-toed ungulates (</w:t>
      </w:r>
      <w:r w:rsidR="00092EA7" w:rsidRPr="00993C92">
        <w:rPr>
          <w:color w:val="000000" w:themeColor="text1"/>
          <w:u w:val="single"/>
        </w:rPr>
        <w:t>Fig. 2</w:t>
      </w:r>
      <w:r w:rsidR="008D65F9" w:rsidRPr="00993C92">
        <w:rPr>
          <w:color w:val="000000" w:themeColor="text1"/>
        </w:rPr>
        <w:t>b,</w:t>
      </w:r>
      <w:r w:rsidR="00123CFE" w:rsidRPr="00993C92">
        <w:rPr>
          <w:color w:val="000000" w:themeColor="text1"/>
        </w:rPr>
        <w:t>g</w:t>
      </w:r>
      <w:r w:rsidR="008D65F9" w:rsidRPr="00993C92">
        <w:rPr>
          <w:color w:val="000000" w:themeColor="text1"/>
        </w:rPr>
        <w:t xml:space="preserve">, </w:t>
      </w:r>
      <w:r w:rsidR="007F7988" w:rsidRPr="00993C92">
        <w:rPr>
          <w:color w:val="000000" w:themeColor="text1"/>
        </w:rPr>
        <w:t>Figure S 2</w:t>
      </w:r>
      <w:r w:rsidR="004F103E" w:rsidRPr="00993C92">
        <w:rPr>
          <w:color w:val="000000" w:themeColor="text1"/>
        </w:rPr>
        <w:t>-</w:t>
      </w:r>
      <w:r w:rsidR="004C17BA" w:rsidRPr="00993C92">
        <w:rPr>
          <w:color w:val="000000" w:themeColor="text1"/>
        </w:rPr>
        <w:t xml:space="preserve">Figure S </w:t>
      </w:r>
      <w:r w:rsidR="004C17BA" w:rsidRPr="00993C92">
        <w:rPr>
          <w:noProof/>
          <w:color w:val="000000" w:themeColor="text1"/>
        </w:rPr>
        <w:t>4</w:t>
      </w:r>
      <w:r w:rsidR="00D1329C" w:rsidRPr="00993C92">
        <w:rPr>
          <w:color w:val="000000" w:themeColor="text1"/>
        </w:rPr>
        <w:t xml:space="preserve">, </w:t>
      </w:r>
      <w:r w:rsidR="00D1329C" w:rsidRPr="00993C92">
        <w:rPr>
          <w:color w:val="000000" w:themeColor="text1"/>
          <w:u w:val="single"/>
        </w:rPr>
        <w:t xml:space="preserve">Fig. </w:t>
      </w:r>
      <w:r w:rsidR="00D1329C" w:rsidRPr="00993C92">
        <w:rPr>
          <w:noProof/>
          <w:color w:val="000000" w:themeColor="text1"/>
          <w:u w:val="single"/>
        </w:rPr>
        <w:t>3</w:t>
      </w:r>
      <w:r w:rsidR="00D1329C" w:rsidRPr="00993C92">
        <w:rPr>
          <w:color w:val="000000" w:themeColor="text1"/>
        </w:rPr>
        <w:t xml:space="preserve">, Table S </w:t>
      </w:r>
      <w:r w:rsidR="00D1329C" w:rsidRPr="00993C92">
        <w:rPr>
          <w:noProof/>
          <w:color w:val="000000" w:themeColor="text1"/>
        </w:rPr>
        <w:t>2</w:t>
      </w:r>
      <w:r w:rsidR="00D1329C" w:rsidRPr="00993C92" w:rsidDel="00D1329C">
        <w:rPr>
          <w:color w:val="000000" w:themeColor="text1"/>
        </w:rPr>
        <w:t xml:space="preserve"> </w:t>
      </w:r>
      <w:r w:rsidR="00FB14F5" w:rsidRPr="00993C92">
        <w:rPr>
          <w:color w:val="000000" w:themeColor="text1"/>
        </w:rPr>
        <w:t>)</w:t>
      </w:r>
      <w:r w:rsidR="00667C1A" w:rsidRPr="00993C92">
        <w:rPr>
          <w:color w:val="000000" w:themeColor="text1"/>
        </w:rPr>
        <w:t>. Also</w:t>
      </w:r>
      <w:r w:rsidR="00684CB7" w:rsidRPr="00993C92">
        <w:rPr>
          <w:color w:val="000000" w:themeColor="text1"/>
        </w:rPr>
        <w:t>,</w:t>
      </w:r>
      <w:r w:rsidR="00667C1A" w:rsidRPr="00993C92">
        <w:rPr>
          <w:color w:val="000000" w:themeColor="text1"/>
        </w:rPr>
        <w:t xml:space="preserve"> peptides of chicken egg proteins were frequently bound (ovomucoid in up to 38% of individuals) </w:t>
      </w:r>
      <w:r w:rsidR="00967C6F" w:rsidRPr="00993C92">
        <w:rPr>
          <w:color w:val="000000" w:themeColor="text1"/>
        </w:rPr>
        <w:t>as well as</w:t>
      </w:r>
      <w:r w:rsidR="00667C1A" w:rsidRPr="00993C92">
        <w:rPr>
          <w:color w:val="000000" w:themeColor="text1"/>
        </w:rPr>
        <w:t xml:space="preserve"> cereals such as wheat</w:t>
      </w:r>
      <w:r w:rsidR="00967C6F" w:rsidRPr="00993C92">
        <w:rPr>
          <w:color w:val="000000" w:themeColor="text1"/>
        </w:rPr>
        <w:t xml:space="preserve"> (26%) </w:t>
      </w:r>
      <w:r w:rsidR="002F2711" w:rsidRPr="00993C92">
        <w:rPr>
          <w:color w:val="000000" w:themeColor="text1"/>
        </w:rPr>
        <w:t>or</w:t>
      </w:r>
      <w:r w:rsidR="00967C6F" w:rsidRPr="00993C92">
        <w:rPr>
          <w:color w:val="000000" w:themeColor="text1"/>
        </w:rPr>
        <w:t xml:space="preserve"> </w:t>
      </w:r>
      <w:r w:rsidR="004937C0" w:rsidRPr="00993C92">
        <w:rPr>
          <w:color w:val="000000" w:themeColor="text1"/>
        </w:rPr>
        <w:t xml:space="preserve">rice </w:t>
      </w:r>
      <w:r w:rsidR="00967C6F" w:rsidRPr="00993C92">
        <w:rPr>
          <w:color w:val="000000" w:themeColor="text1"/>
        </w:rPr>
        <w:t xml:space="preserve">(22%). </w:t>
      </w:r>
      <w:r w:rsidR="004937C0" w:rsidRPr="00993C92">
        <w:rPr>
          <w:color w:val="000000" w:themeColor="text1"/>
        </w:rPr>
        <w:t xml:space="preserve">Other frequent Ig responses included </w:t>
      </w:r>
      <w:r w:rsidR="0084662E" w:rsidRPr="00993C92">
        <w:rPr>
          <w:color w:val="000000" w:themeColor="text1"/>
        </w:rPr>
        <w:t xml:space="preserve">binding against </w:t>
      </w:r>
      <w:r w:rsidR="00EE7EED" w:rsidRPr="00993C92">
        <w:rPr>
          <w:color w:val="000000" w:themeColor="text1"/>
        </w:rPr>
        <w:t>peptides of legume</w:t>
      </w:r>
      <w:r w:rsidR="0084662E" w:rsidRPr="00993C92">
        <w:rPr>
          <w:color w:val="000000" w:themeColor="text1"/>
        </w:rPr>
        <w:t>s</w:t>
      </w:r>
      <w:r w:rsidR="00EE7EED" w:rsidRPr="00993C92">
        <w:rPr>
          <w:color w:val="000000" w:themeColor="text1"/>
        </w:rPr>
        <w:t xml:space="preserve"> such as lentils </w:t>
      </w:r>
      <w:r w:rsidR="002F2711" w:rsidRPr="00993C92">
        <w:rPr>
          <w:color w:val="000000" w:themeColor="text1"/>
        </w:rPr>
        <w:t>(</w:t>
      </w:r>
      <w:r w:rsidR="00EE7EED" w:rsidRPr="00993C92">
        <w:rPr>
          <w:color w:val="000000" w:themeColor="text1"/>
        </w:rPr>
        <w:t>in 18% of individuals</w:t>
      </w:r>
      <w:r w:rsidR="002F2711" w:rsidRPr="00993C92">
        <w:rPr>
          <w:color w:val="000000" w:themeColor="text1"/>
        </w:rPr>
        <w:t>)</w:t>
      </w:r>
      <w:r w:rsidR="00EE7EED" w:rsidRPr="00993C92">
        <w:rPr>
          <w:color w:val="000000" w:themeColor="text1"/>
        </w:rPr>
        <w:t>, peas (12%), and chickpea</w:t>
      </w:r>
      <w:r w:rsidR="002F2711" w:rsidRPr="00993C92">
        <w:rPr>
          <w:color w:val="000000" w:themeColor="text1"/>
        </w:rPr>
        <w:t>s</w:t>
      </w:r>
      <w:r w:rsidR="00EE7EED" w:rsidRPr="00993C92">
        <w:rPr>
          <w:color w:val="000000" w:themeColor="text1"/>
        </w:rPr>
        <w:t xml:space="preserve"> (9%)</w:t>
      </w:r>
      <w:r w:rsidR="0084662E" w:rsidRPr="00993C92">
        <w:rPr>
          <w:color w:val="000000" w:themeColor="text1"/>
        </w:rPr>
        <w:t xml:space="preserve">, as well as proteins form </w:t>
      </w:r>
      <w:r w:rsidR="0084662E" w:rsidRPr="00993C92">
        <w:rPr>
          <w:iCs/>
          <w:color w:val="000000" w:themeColor="text1"/>
        </w:rPr>
        <w:t xml:space="preserve">Solanaceae </w:t>
      </w:r>
      <w:r w:rsidR="0084662E" w:rsidRPr="00993C92">
        <w:rPr>
          <w:color w:val="000000" w:themeColor="text1"/>
        </w:rPr>
        <w:t>(tomato in 18% and potato in 10%</w:t>
      </w:r>
      <w:r w:rsidR="001B3C52" w:rsidRPr="00993C92">
        <w:rPr>
          <w:color w:val="000000" w:themeColor="text1"/>
        </w:rPr>
        <w:t xml:space="preserve">, </w:t>
      </w:r>
      <w:r w:rsidR="00F83550" w:rsidRPr="00993C92">
        <w:rPr>
          <w:color w:val="000000" w:themeColor="text1"/>
        </w:rPr>
        <w:t>Table S 1</w:t>
      </w:r>
      <w:r w:rsidR="0084662E" w:rsidRPr="00993C92">
        <w:rPr>
          <w:color w:val="000000" w:themeColor="text1"/>
        </w:rPr>
        <w:t>).</w:t>
      </w:r>
      <w:r w:rsidR="00684CB7" w:rsidRPr="00993C92">
        <w:rPr>
          <w:color w:val="000000" w:themeColor="text1"/>
        </w:rPr>
        <w:t xml:space="preserve"> Similar to milk caseins, these proteins frequently showed antibody binding to multiple overlapping peptides, suggesting </w:t>
      </w:r>
      <w:r w:rsidR="002F2711" w:rsidRPr="00993C92">
        <w:rPr>
          <w:color w:val="000000" w:themeColor="text1"/>
        </w:rPr>
        <w:t xml:space="preserve">a </w:t>
      </w:r>
      <w:r w:rsidR="00684CB7" w:rsidRPr="00993C92">
        <w:rPr>
          <w:color w:val="000000" w:themeColor="text1"/>
        </w:rPr>
        <w:t>distinct immunogenic region</w:t>
      </w:r>
      <w:r w:rsidR="008D65F9" w:rsidRPr="00993C92">
        <w:rPr>
          <w:color w:val="000000" w:themeColor="text1"/>
        </w:rPr>
        <w:t xml:space="preserve"> </w:t>
      </w:r>
      <w:r w:rsidR="004937C0" w:rsidRPr="00993C92">
        <w:rPr>
          <w:color w:val="000000" w:themeColor="text1"/>
        </w:rPr>
        <w:t xml:space="preserve">an potential cross-reactivity </w:t>
      </w:r>
      <w:r w:rsidR="008D65F9" w:rsidRPr="00993C92">
        <w:rPr>
          <w:color w:val="000000" w:themeColor="text1"/>
        </w:rPr>
        <w:t>(</w:t>
      </w:r>
      <w:r w:rsidR="001D0961" w:rsidRPr="00993C92">
        <w:rPr>
          <w:color w:val="000000" w:themeColor="text1"/>
          <w:u w:val="single"/>
        </w:rPr>
        <w:t>Fig. 2</w:t>
      </w:r>
      <w:r w:rsidR="008D65F9" w:rsidRPr="00993C92">
        <w:rPr>
          <w:color w:val="000000" w:themeColor="text1"/>
        </w:rPr>
        <w:t>b,</w:t>
      </w:r>
      <w:r w:rsidR="00123CFE" w:rsidRPr="00993C92">
        <w:rPr>
          <w:color w:val="000000" w:themeColor="text1"/>
        </w:rPr>
        <w:t>d-g</w:t>
      </w:r>
      <w:r w:rsidR="008D65F9" w:rsidRPr="00993C92">
        <w:rPr>
          <w:color w:val="000000" w:themeColor="text1"/>
        </w:rPr>
        <w:t xml:space="preserve">, </w:t>
      </w:r>
      <w:r w:rsidR="004F103E" w:rsidRPr="00993C92">
        <w:rPr>
          <w:color w:val="000000" w:themeColor="text1"/>
        </w:rPr>
        <w:t xml:space="preserve">Figure S </w:t>
      </w:r>
      <w:r w:rsidR="004F103E" w:rsidRPr="00993C92">
        <w:rPr>
          <w:noProof/>
          <w:color w:val="000000" w:themeColor="text1"/>
        </w:rPr>
        <w:t>3</w:t>
      </w:r>
      <w:r w:rsidR="008D65F9" w:rsidRPr="00993C92">
        <w:rPr>
          <w:color w:val="000000" w:themeColor="text1"/>
        </w:rPr>
        <w:t xml:space="preserve">, </w:t>
      </w:r>
      <w:r w:rsidR="00AD4579" w:rsidRPr="00993C92">
        <w:rPr>
          <w:color w:val="000000" w:themeColor="text1"/>
        </w:rPr>
        <w:t xml:space="preserve">Table S </w:t>
      </w:r>
      <w:r w:rsidR="00AD4579" w:rsidRPr="00993C92">
        <w:rPr>
          <w:noProof/>
          <w:color w:val="000000" w:themeColor="text1"/>
        </w:rPr>
        <w:t>2</w:t>
      </w:r>
      <w:r w:rsidR="008D65F9" w:rsidRPr="00993C92">
        <w:rPr>
          <w:color w:val="000000" w:themeColor="text1"/>
        </w:rPr>
        <w:t>)</w:t>
      </w:r>
      <w:r w:rsidR="00684CB7" w:rsidRPr="00993C92">
        <w:rPr>
          <w:color w:val="000000" w:themeColor="text1"/>
        </w:rPr>
        <w:t>.</w:t>
      </w:r>
    </w:p>
    <w:p w14:paraId="66E91E66" w14:textId="5348132A" w:rsidR="007C230A" w:rsidRPr="00993C92" w:rsidRDefault="00D0171B" w:rsidP="002F2711">
      <w:pPr>
        <w:spacing w:after="120" w:line="257" w:lineRule="auto"/>
        <w:jc w:val="both"/>
        <w:rPr>
          <w:color w:val="000000" w:themeColor="text1"/>
        </w:rPr>
      </w:pPr>
      <w:r w:rsidRPr="00993C92">
        <w:rPr>
          <w:color w:val="000000" w:themeColor="text1"/>
        </w:rPr>
        <w:t xml:space="preserve">Overall, the magnitude of antibody responses against food proteins from allergen databases was significantly </w:t>
      </w:r>
      <w:r w:rsidR="00B878DE" w:rsidRPr="00993C92">
        <w:rPr>
          <w:color w:val="000000" w:themeColor="text1"/>
        </w:rPr>
        <w:t>(</w:t>
      </w:r>
      <w:r w:rsidR="00CD515F" w:rsidRPr="00993C92">
        <w:rPr>
          <w:color w:val="000000" w:themeColor="text1"/>
        </w:rPr>
        <w:t>Mann-Whitney test on fold change of all peptides and all samples p-value &lt; 10</w:t>
      </w:r>
      <w:r w:rsidR="00CD515F" w:rsidRPr="00993C92">
        <w:rPr>
          <w:color w:val="000000" w:themeColor="text1"/>
          <w:vertAlign w:val="superscript"/>
        </w:rPr>
        <w:t>-31</w:t>
      </w:r>
      <w:r w:rsidR="00B878DE" w:rsidRPr="00993C92">
        <w:rPr>
          <w:color w:val="000000" w:themeColor="text1"/>
        </w:rPr>
        <w:t xml:space="preserve">) </w:t>
      </w:r>
      <w:r w:rsidRPr="00993C92">
        <w:rPr>
          <w:color w:val="000000" w:themeColor="text1"/>
        </w:rPr>
        <w:t>lower than against the IEDB</w:t>
      </w:r>
      <w:r w:rsidR="00523F86" w:rsidRPr="00993C92">
        <w:rPr>
          <w:color w:val="000000" w:themeColor="text1"/>
        </w:rPr>
        <w:t xml:space="preserve"> (</w:t>
      </w:r>
      <w:r w:rsidR="001D0961" w:rsidRPr="00993C92">
        <w:rPr>
          <w:color w:val="000000" w:themeColor="text1"/>
          <w:u w:val="single"/>
        </w:rPr>
        <w:t>Fig. 1</w:t>
      </w:r>
      <w:r w:rsidR="00523F86" w:rsidRPr="00993C92">
        <w:rPr>
          <w:color w:val="000000" w:themeColor="text1"/>
        </w:rPr>
        <w:t>f,g)</w:t>
      </w:r>
      <w:r w:rsidRPr="00993C92">
        <w:rPr>
          <w:color w:val="000000" w:themeColor="text1"/>
        </w:rPr>
        <w:t xml:space="preserve">. PhIP-Seq does not provide an absolute </w:t>
      </w:r>
      <w:r w:rsidR="00523F86" w:rsidRPr="00993C92">
        <w:rPr>
          <w:color w:val="000000" w:themeColor="text1"/>
        </w:rPr>
        <w:t>quantification</w:t>
      </w:r>
      <w:r w:rsidRPr="00993C92">
        <w:rPr>
          <w:color w:val="000000" w:themeColor="text1"/>
        </w:rPr>
        <w:t xml:space="preserve"> </w:t>
      </w:r>
      <w:r w:rsidR="00523F86" w:rsidRPr="00993C92">
        <w:rPr>
          <w:color w:val="000000" w:themeColor="text1"/>
        </w:rPr>
        <w:t>obtainable for single antigens with ELISAs with calibration curves</w:t>
      </w:r>
      <w:r w:rsidRPr="00993C92">
        <w:rPr>
          <w:color w:val="000000" w:themeColor="text1"/>
        </w:rPr>
        <w:t xml:space="preserve">, </w:t>
      </w:r>
      <w:r w:rsidR="00523F86" w:rsidRPr="00993C92">
        <w:rPr>
          <w:color w:val="000000" w:themeColor="text1"/>
        </w:rPr>
        <w:t>yet the FC values (‘fold change’ referring to the ratio between reads in the IP reaction with antibodies vs. input sequencing of the phage library) represents a parallelized estimate for binding strength.</w:t>
      </w:r>
    </w:p>
    <w:p w14:paraId="1797A49B" w14:textId="2BE0E09D" w:rsidR="00F122B5" w:rsidRPr="00993C92" w:rsidRDefault="00A060E4" w:rsidP="002F2711">
      <w:pPr>
        <w:pStyle w:val="Heading2"/>
        <w:spacing w:before="0" w:after="120"/>
        <w:rPr>
          <w:color w:val="000000" w:themeColor="text1"/>
        </w:rPr>
      </w:pPr>
      <w:r w:rsidRPr="00993C92">
        <w:rPr>
          <w:color w:val="000000" w:themeColor="text1"/>
        </w:rPr>
        <w:lastRenderedPageBreak/>
        <w:t xml:space="preserve">Ig responses against certain </w:t>
      </w:r>
      <w:r w:rsidR="00B878DE" w:rsidRPr="00993C92">
        <w:rPr>
          <w:color w:val="000000" w:themeColor="text1"/>
        </w:rPr>
        <w:t xml:space="preserve">food groups </w:t>
      </w:r>
      <w:r w:rsidRPr="00993C92">
        <w:rPr>
          <w:color w:val="000000" w:themeColor="text1"/>
        </w:rPr>
        <w:t>cluster to shared epitopes</w:t>
      </w:r>
    </w:p>
    <w:p w14:paraId="02575BBD" w14:textId="2E944E7A" w:rsidR="00A060E4" w:rsidRPr="00993C92" w:rsidRDefault="008D65F9" w:rsidP="00043296">
      <w:pPr>
        <w:spacing w:after="0" w:line="257" w:lineRule="auto"/>
        <w:jc w:val="both"/>
        <w:rPr>
          <w:color w:val="000000" w:themeColor="text1"/>
        </w:rPr>
      </w:pPr>
      <w:r w:rsidRPr="00993C92">
        <w:rPr>
          <w:color w:val="000000" w:themeColor="text1"/>
        </w:rPr>
        <w:t>Given</w:t>
      </w:r>
      <w:r w:rsidR="00C13BD3" w:rsidRPr="00993C92">
        <w:rPr>
          <w:color w:val="000000" w:themeColor="text1"/>
        </w:rPr>
        <w:t xml:space="preserve"> the similar antibody binding frequencies against food proteins from </w:t>
      </w:r>
      <w:r w:rsidR="006B3C82" w:rsidRPr="00993C92">
        <w:rPr>
          <w:color w:val="000000" w:themeColor="text1"/>
        </w:rPr>
        <w:t>closely related</w:t>
      </w:r>
      <w:r w:rsidR="00C13BD3" w:rsidRPr="00993C92">
        <w:rPr>
          <w:color w:val="000000" w:themeColor="text1"/>
        </w:rPr>
        <w:t xml:space="preserve"> phylogenetic origin</w:t>
      </w:r>
      <w:r w:rsidRPr="00993C92">
        <w:rPr>
          <w:color w:val="000000" w:themeColor="text1"/>
        </w:rPr>
        <w:t xml:space="preserve"> (</w:t>
      </w:r>
      <w:r w:rsidR="001D0961" w:rsidRPr="00993C92">
        <w:rPr>
          <w:color w:val="000000" w:themeColor="text1"/>
          <w:u w:val="single"/>
        </w:rPr>
        <w:t>Fig. 2</w:t>
      </w:r>
      <w:r w:rsidRPr="00993C92">
        <w:rPr>
          <w:color w:val="000000" w:themeColor="text1"/>
        </w:rPr>
        <w:t>b)</w:t>
      </w:r>
      <w:r w:rsidR="00C13BD3" w:rsidRPr="00993C92">
        <w:rPr>
          <w:color w:val="000000" w:themeColor="text1"/>
        </w:rPr>
        <w:t>, we next analyzed if these Ig responses are correlated between individuals. Hierarchical clustering (</w:t>
      </w:r>
      <w:r w:rsidR="001D0961" w:rsidRPr="00993C92">
        <w:rPr>
          <w:color w:val="000000" w:themeColor="text1"/>
          <w:u w:val="single"/>
        </w:rPr>
        <w:t>Fig. 2</w:t>
      </w:r>
      <w:r w:rsidR="00C13BD3" w:rsidRPr="00993C92">
        <w:rPr>
          <w:color w:val="000000" w:themeColor="text1"/>
        </w:rPr>
        <w:t xml:space="preserve">c) yielded </w:t>
      </w:r>
      <w:r w:rsidR="00335518" w:rsidRPr="00993C92">
        <w:rPr>
          <w:color w:val="000000" w:themeColor="text1"/>
        </w:rPr>
        <w:t>13</w:t>
      </w:r>
      <w:r w:rsidR="00C13BD3" w:rsidRPr="00993C92">
        <w:rPr>
          <w:color w:val="000000" w:themeColor="text1"/>
        </w:rPr>
        <w:t xml:space="preserve"> clusters, originating from both food proteins as well as environmental antigens. The clustering peptides typically shared sequence motifs, suggesting cross-reactivity against the same epitope (see sections of the motifs highlighted in </w:t>
      </w:r>
      <w:r w:rsidR="001D0961" w:rsidRPr="00993C92">
        <w:rPr>
          <w:color w:val="000000" w:themeColor="text1"/>
          <w:u w:val="single"/>
        </w:rPr>
        <w:t>Fig. 2</w:t>
      </w:r>
      <w:r w:rsidR="00C13BD3" w:rsidRPr="00993C92">
        <w:rPr>
          <w:color w:val="000000" w:themeColor="text1"/>
        </w:rPr>
        <w:t xml:space="preserve">d-i, </w:t>
      </w:r>
      <w:r w:rsidR="00B13520" w:rsidRPr="00993C92">
        <w:rPr>
          <w:color w:val="000000" w:themeColor="text1"/>
        </w:rPr>
        <w:t xml:space="preserve">Figure S </w:t>
      </w:r>
      <w:r w:rsidR="00B13520" w:rsidRPr="00993C92">
        <w:rPr>
          <w:noProof/>
          <w:color w:val="000000" w:themeColor="text1"/>
        </w:rPr>
        <w:t>3</w:t>
      </w:r>
      <w:r w:rsidR="00043296" w:rsidRPr="00993C92">
        <w:rPr>
          <w:color w:val="000000" w:themeColor="text1"/>
        </w:rPr>
        <w:t xml:space="preserve"> for full alignments, and </w:t>
      </w:r>
      <w:r w:rsidR="00AD4579" w:rsidRPr="00993C92">
        <w:rPr>
          <w:color w:val="000000" w:themeColor="text1"/>
        </w:rPr>
        <w:t xml:space="preserve">Table S </w:t>
      </w:r>
      <w:r w:rsidR="00AD4579" w:rsidRPr="00993C92">
        <w:rPr>
          <w:noProof/>
          <w:color w:val="000000" w:themeColor="text1"/>
        </w:rPr>
        <w:t>2</w:t>
      </w:r>
      <w:r w:rsidR="00043296" w:rsidRPr="00993C92">
        <w:rPr>
          <w:color w:val="000000" w:themeColor="text1"/>
        </w:rPr>
        <w:t xml:space="preserve"> for detailed information on the bound peptides).</w:t>
      </w:r>
    </w:p>
    <w:p w14:paraId="2D426DF6" w14:textId="77275B47" w:rsidR="00043296" w:rsidRPr="00993C92" w:rsidRDefault="00043296" w:rsidP="00693BA8">
      <w:pPr>
        <w:spacing w:after="0" w:line="257" w:lineRule="auto"/>
        <w:jc w:val="both"/>
        <w:rPr>
          <w:color w:val="000000" w:themeColor="text1"/>
        </w:rPr>
      </w:pPr>
      <w:r w:rsidRPr="00993C92">
        <w:rPr>
          <w:color w:val="000000" w:themeColor="text1"/>
        </w:rPr>
        <w:t>Clusters of antibody responses against food proteins encompassed cereals (</w:t>
      </w:r>
      <w:r w:rsidR="001D0961" w:rsidRPr="00993C92">
        <w:rPr>
          <w:color w:val="000000" w:themeColor="text1"/>
          <w:u w:val="single"/>
        </w:rPr>
        <w:t>Fig. 2</w:t>
      </w:r>
      <w:r w:rsidR="00123CFE" w:rsidRPr="00993C92">
        <w:rPr>
          <w:color w:val="000000" w:themeColor="text1"/>
        </w:rPr>
        <w:t>d</w:t>
      </w:r>
      <w:r w:rsidRPr="00993C92">
        <w:rPr>
          <w:color w:val="000000" w:themeColor="text1"/>
        </w:rPr>
        <w:t>), in particular wheat (</w:t>
      </w:r>
      <w:r w:rsidR="00B13520" w:rsidRPr="00993C92">
        <w:rPr>
          <w:color w:val="000000" w:themeColor="text1"/>
        </w:rPr>
        <w:t xml:space="preserve">Figure S </w:t>
      </w:r>
      <w:r w:rsidR="00B13520" w:rsidRPr="00993C92">
        <w:rPr>
          <w:noProof/>
          <w:color w:val="000000" w:themeColor="text1"/>
        </w:rPr>
        <w:t>3</w:t>
      </w:r>
      <w:r w:rsidR="00123CFE" w:rsidRPr="00993C92">
        <w:rPr>
          <w:color w:val="000000" w:themeColor="text1"/>
        </w:rPr>
        <w:t>b,</w:t>
      </w:r>
      <w:r w:rsidR="00335518" w:rsidRPr="00993C92">
        <w:rPr>
          <w:color w:val="000000" w:themeColor="text1"/>
        </w:rPr>
        <w:t>i</w:t>
      </w:r>
      <w:r w:rsidR="00123CFE" w:rsidRPr="00993C92">
        <w:rPr>
          <w:color w:val="000000" w:themeColor="text1"/>
        </w:rPr>
        <w:t>,j</w:t>
      </w:r>
      <w:r w:rsidRPr="00993C92">
        <w:rPr>
          <w:color w:val="000000" w:themeColor="text1"/>
        </w:rPr>
        <w:t>), as well as bovine milk proteins (</w:t>
      </w:r>
      <w:r w:rsidR="001D0961" w:rsidRPr="00993C92">
        <w:rPr>
          <w:color w:val="000000" w:themeColor="text1"/>
          <w:u w:val="single"/>
        </w:rPr>
        <w:t>Fig. 2</w:t>
      </w:r>
      <w:r w:rsidR="004F6496" w:rsidRPr="00993C92">
        <w:rPr>
          <w:color w:val="000000" w:themeColor="text1"/>
        </w:rPr>
        <w:t>g</w:t>
      </w:r>
      <w:r w:rsidR="00123CFE" w:rsidRPr="00993C92">
        <w:rPr>
          <w:color w:val="000000" w:themeColor="text1"/>
        </w:rPr>
        <w:t xml:space="preserve">, </w:t>
      </w:r>
      <w:r w:rsidR="00B13520" w:rsidRPr="00993C92">
        <w:rPr>
          <w:color w:val="000000" w:themeColor="text1"/>
        </w:rPr>
        <w:t xml:space="preserve">Figure S </w:t>
      </w:r>
      <w:r w:rsidR="00B13520" w:rsidRPr="00993C92">
        <w:rPr>
          <w:noProof/>
          <w:color w:val="000000" w:themeColor="text1"/>
        </w:rPr>
        <w:t>3</w:t>
      </w:r>
      <w:r w:rsidR="004F6496" w:rsidRPr="00993C92">
        <w:rPr>
          <w:color w:val="000000" w:themeColor="text1"/>
        </w:rPr>
        <w:t>f</w:t>
      </w:r>
      <w:r w:rsidRPr="00993C92">
        <w:rPr>
          <w:color w:val="000000" w:themeColor="text1"/>
        </w:rPr>
        <w:t>),</w:t>
      </w:r>
      <w:r w:rsidR="00051C48" w:rsidRPr="00993C92">
        <w:rPr>
          <w:color w:val="000000" w:themeColor="text1"/>
        </w:rPr>
        <w:t xml:space="preserve"> poultry</w:t>
      </w:r>
      <w:r w:rsidR="00BC1ABB" w:rsidRPr="00993C92">
        <w:rPr>
          <w:color w:val="000000" w:themeColor="text1"/>
        </w:rPr>
        <w:t xml:space="preserve"> </w:t>
      </w:r>
      <w:r w:rsidR="00051C48" w:rsidRPr="00993C92">
        <w:rPr>
          <w:color w:val="000000" w:themeColor="text1"/>
        </w:rPr>
        <w:t>(</w:t>
      </w:r>
      <w:r w:rsidR="001D0961" w:rsidRPr="00993C92">
        <w:rPr>
          <w:color w:val="000000" w:themeColor="text1"/>
          <w:u w:val="single"/>
        </w:rPr>
        <w:t>Fig. 2</w:t>
      </w:r>
      <w:r w:rsidR="00335518" w:rsidRPr="00993C92">
        <w:rPr>
          <w:color w:val="000000" w:themeColor="text1"/>
        </w:rPr>
        <w:t>f</w:t>
      </w:r>
      <w:r w:rsidR="00051C48" w:rsidRPr="00993C92">
        <w:rPr>
          <w:color w:val="000000" w:themeColor="text1"/>
        </w:rPr>
        <w:t>),</w:t>
      </w:r>
      <w:r w:rsidRPr="00993C92">
        <w:rPr>
          <w:color w:val="000000" w:themeColor="text1"/>
        </w:rPr>
        <w:t xml:space="preserve"> </w:t>
      </w:r>
      <w:r w:rsidR="00051C48" w:rsidRPr="00993C92">
        <w:rPr>
          <w:color w:val="000000" w:themeColor="text1"/>
        </w:rPr>
        <w:t xml:space="preserve">and </w:t>
      </w:r>
      <w:r w:rsidRPr="00993C92">
        <w:rPr>
          <w:color w:val="000000" w:themeColor="text1"/>
        </w:rPr>
        <w:t>legumes (</w:t>
      </w:r>
      <w:r w:rsidR="001D0961" w:rsidRPr="00993C92">
        <w:rPr>
          <w:color w:val="000000" w:themeColor="text1"/>
          <w:u w:val="single"/>
        </w:rPr>
        <w:t>Fig. 2</w:t>
      </w:r>
      <w:r w:rsidR="004F6496" w:rsidRPr="00993C92">
        <w:rPr>
          <w:color w:val="000000" w:themeColor="text1"/>
        </w:rPr>
        <w:t>e</w:t>
      </w:r>
      <w:r w:rsidRPr="00993C92">
        <w:rPr>
          <w:color w:val="000000" w:themeColor="text1"/>
        </w:rPr>
        <w:t>)</w:t>
      </w:r>
      <w:r w:rsidR="00051C48" w:rsidRPr="00993C92">
        <w:rPr>
          <w:color w:val="000000" w:themeColor="text1"/>
        </w:rPr>
        <w:t xml:space="preserve">. </w:t>
      </w:r>
      <w:r w:rsidR="00B01529" w:rsidRPr="00993C92">
        <w:rPr>
          <w:color w:val="000000" w:themeColor="text1"/>
        </w:rPr>
        <w:t xml:space="preserve">For example, a shared motif in starch synthases from wheat, barley, rye, maize, and rice was commonly </w:t>
      </w:r>
      <w:r w:rsidR="00BC1ABB" w:rsidRPr="00993C92">
        <w:rPr>
          <w:color w:val="000000" w:themeColor="text1"/>
        </w:rPr>
        <w:t>bound by antibodies</w:t>
      </w:r>
      <w:r w:rsidR="00B01529" w:rsidRPr="00993C92">
        <w:rPr>
          <w:color w:val="000000" w:themeColor="text1"/>
        </w:rPr>
        <w:t xml:space="preserve"> (</w:t>
      </w:r>
      <w:r w:rsidR="001D0961" w:rsidRPr="00993C92">
        <w:rPr>
          <w:color w:val="000000" w:themeColor="text1"/>
          <w:u w:val="single"/>
        </w:rPr>
        <w:t>Fig. 2</w:t>
      </w:r>
      <w:r w:rsidR="004F6496" w:rsidRPr="00993C92">
        <w:rPr>
          <w:color w:val="000000" w:themeColor="text1"/>
        </w:rPr>
        <w:t>d</w:t>
      </w:r>
      <w:r w:rsidR="00B01529" w:rsidRPr="00993C92">
        <w:rPr>
          <w:color w:val="000000" w:themeColor="text1"/>
        </w:rPr>
        <w:t xml:space="preserve">). </w:t>
      </w:r>
      <w:r w:rsidR="00B90603" w:rsidRPr="00993C92">
        <w:rPr>
          <w:color w:val="000000" w:themeColor="text1"/>
        </w:rPr>
        <w:t>Also,</w:t>
      </w:r>
      <w:r w:rsidR="00B01529" w:rsidRPr="00993C92">
        <w:rPr>
          <w:color w:val="000000" w:themeColor="text1"/>
        </w:rPr>
        <w:t xml:space="preserve"> high-molecular-weight (</w:t>
      </w:r>
      <w:r w:rsidR="00B13520" w:rsidRPr="00993C92">
        <w:rPr>
          <w:color w:val="000000" w:themeColor="text1"/>
        </w:rPr>
        <w:t xml:space="preserve">Figure S </w:t>
      </w:r>
      <w:r w:rsidR="00B13520" w:rsidRPr="00993C92">
        <w:rPr>
          <w:noProof/>
          <w:color w:val="000000" w:themeColor="text1"/>
        </w:rPr>
        <w:t>3</w:t>
      </w:r>
      <w:r w:rsidR="00A972A4" w:rsidRPr="00993C92">
        <w:rPr>
          <w:color w:val="000000" w:themeColor="text1"/>
        </w:rPr>
        <w:t>i</w:t>
      </w:r>
      <w:r w:rsidR="00B01529" w:rsidRPr="00993C92">
        <w:rPr>
          <w:color w:val="000000" w:themeColor="text1"/>
        </w:rPr>
        <w:t>) and low-molecular-weight (</w:t>
      </w:r>
      <w:r w:rsidR="00B13520" w:rsidRPr="00993C92">
        <w:rPr>
          <w:color w:val="000000" w:themeColor="text1"/>
        </w:rPr>
        <w:t xml:space="preserve">Figure S </w:t>
      </w:r>
      <w:r w:rsidR="00B13520" w:rsidRPr="00993C92">
        <w:rPr>
          <w:noProof/>
          <w:color w:val="000000" w:themeColor="text1"/>
        </w:rPr>
        <w:t>3</w:t>
      </w:r>
      <w:r w:rsidR="004F6496" w:rsidRPr="00993C92">
        <w:rPr>
          <w:color w:val="000000" w:themeColor="text1"/>
        </w:rPr>
        <w:t>c</w:t>
      </w:r>
      <w:r w:rsidR="00B01529" w:rsidRPr="00993C92">
        <w:rPr>
          <w:color w:val="000000" w:themeColor="text1"/>
        </w:rPr>
        <w:t>) glutenin</w:t>
      </w:r>
      <w:r w:rsidR="007D6402" w:rsidRPr="00993C92">
        <w:rPr>
          <w:color w:val="000000" w:themeColor="text1"/>
        </w:rPr>
        <w:t>, predominately from</w:t>
      </w:r>
      <w:r w:rsidR="00B01529" w:rsidRPr="00993C92">
        <w:rPr>
          <w:color w:val="000000" w:themeColor="text1"/>
        </w:rPr>
        <w:t xml:space="preserve"> wheat</w:t>
      </w:r>
      <w:r w:rsidR="007D6402" w:rsidRPr="00993C92">
        <w:rPr>
          <w:color w:val="000000" w:themeColor="text1"/>
        </w:rPr>
        <w:t>, were bound in glutamine-rich regions</w:t>
      </w:r>
      <w:r w:rsidR="00AA2B09" w:rsidRPr="00993C92">
        <w:rPr>
          <w:color w:val="000000" w:themeColor="text1"/>
        </w:rPr>
        <w:t>. IgA and IgG anti</w:t>
      </w:r>
      <w:r w:rsidR="007B6F49" w:rsidRPr="00993C92">
        <w:rPr>
          <w:color w:val="000000" w:themeColor="text1"/>
        </w:rPr>
        <w:t>-</w:t>
      </w:r>
      <w:r w:rsidR="00AA2B09" w:rsidRPr="00993C92">
        <w:rPr>
          <w:color w:val="000000" w:themeColor="text1"/>
        </w:rPr>
        <w:t>gliadin antibodies are a serological marker for Celiac disease</w:t>
      </w:r>
      <w:r w:rsidR="00E0726B" w:rsidRPr="00993C92">
        <w:rPr>
          <w:color w:val="000000" w:themeColor="text1"/>
        </w:rPr>
        <w:t xml:space="preserve"> (CeD)</w:t>
      </w:r>
      <w:r w:rsidR="00AA2B09" w:rsidRPr="00993C92">
        <w:rPr>
          <w:color w:val="000000" w:themeColor="text1"/>
        </w:rPr>
        <w:t xml:space="preserve"> </w:t>
      </w:r>
      <w:r w:rsidR="00282B43" w:rsidRPr="00993C92">
        <w:rPr>
          <w:noProof/>
          <w:color w:val="000000" w:themeColor="text1"/>
        </w:rPr>
        <w:t>(van der Windt et al., 2010)</w:t>
      </w:r>
      <w:r w:rsidR="00935949" w:rsidRPr="00993C92">
        <w:rPr>
          <w:color w:val="000000" w:themeColor="text1"/>
        </w:rPr>
        <w:t xml:space="preserve">. However, for </w:t>
      </w:r>
      <w:r w:rsidR="00E0726B" w:rsidRPr="00993C92">
        <w:rPr>
          <w:color w:val="000000" w:themeColor="text1"/>
        </w:rPr>
        <w:t>this</w:t>
      </w:r>
      <w:r w:rsidR="00935949" w:rsidRPr="00993C92">
        <w:rPr>
          <w:color w:val="000000" w:themeColor="text1"/>
        </w:rPr>
        <w:t xml:space="preserve"> cohort </w:t>
      </w:r>
      <w:r w:rsidR="000C49A3" w:rsidRPr="00993C92">
        <w:rPr>
          <w:color w:val="000000" w:themeColor="text1"/>
        </w:rPr>
        <w:t>CeD</w:t>
      </w:r>
      <w:r w:rsidR="00935949" w:rsidRPr="00993C92">
        <w:rPr>
          <w:color w:val="000000" w:themeColor="text1"/>
        </w:rPr>
        <w:t xml:space="preserve"> had been an exclusion criterion </w:t>
      </w:r>
      <w:r w:rsidR="00282B43" w:rsidRPr="00993C92">
        <w:rPr>
          <w:noProof/>
          <w:color w:val="000000" w:themeColor="text1"/>
        </w:rPr>
        <w:t>(Zeevi et al., 2015)</w:t>
      </w:r>
      <w:r w:rsidR="00935949" w:rsidRPr="00993C92">
        <w:rPr>
          <w:color w:val="000000" w:themeColor="text1"/>
        </w:rPr>
        <w:t xml:space="preserve">. </w:t>
      </w:r>
      <w:r w:rsidR="00A972A4" w:rsidRPr="00993C92">
        <w:rPr>
          <w:color w:val="000000" w:themeColor="text1"/>
        </w:rPr>
        <w:t>T</w:t>
      </w:r>
      <w:r w:rsidR="00935949" w:rsidRPr="00993C92">
        <w:rPr>
          <w:color w:val="000000" w:themeColor="text1"/>
        </w:rPr>
        <w:t xml:space="preserve">he </w:t>
      </w:r>
      <w:r w:rsidR="001B3C52" w:rsidRPr="00993C92">
        <w:rPr>
          <w:color w:val="000000" w:themeColor="text1"/>
        </w:rPr>
        <w:t>observed anti</w:t>
      </w:r>
      <w:r w:rsidR="003A7128" w:rsidRPr="00993C92">
        <w:rPr>
          <w:color w:val="000000" w:themeColor="text1"/>
        </w:rPr>
        <w:t>-</w:t>
      </w:r>
      <w:r w:rsidR="001B3C52" w:rsidRPr="00993C92">
        <w:rPr>
          <w:color w:val="000000" w:themeColor="text1"/>
        </w:rPr>
        <w:t xml:space="preserve">gliadin antibodies may also occur in individuals </w:t>
      </w:r>
      <w:r w:rsidR="00E0726B" w:rsidRPr="00993C92">
        <w:rPr>
          <w:color w:val="000000" w:themeColor="text1"/>
        </w:rPr>
        <w:t xml:space="preserve">undiagnosed with CeD </w:t>
      </w:r>
      <w:r w:rsidR="001B3C52" w:rsidRPr="00993C92">
        <w:rPr>
          <w:color w:val="000000" w:themeColor="text1"/>
        </w:rPr>
        <w:t>or only be associated with subclinical symptoms in our cohort</w:t>
      </w:r>
      <w:r w:rsidR="00A972A4" w:rsidRPr="00993C92">
        <w:rPr>
          <w:color w:val="000000" w:themeColor="text1"/>
        </w:rPr>
        <w:t xml:space="preserve"> (although complex phenotypes relating to immune responses against wheat proteins have been discussed in the setting of gluten sensitivity </w:t>
      </w:r>
      <w:r w:rsidR="00282B43" w:rsidRPr="00993C92">
        <w:rPr>
          <w:noProof/>
          <w:color w:val="000000" w:themeColor="text1"/>
        </w:rPr>
        <w:t>(Geisslitz et al., 2021; Junker et al., 2012)</w:t>
      </w:r>
      <w:r w:rsidR="00A972A4" w:rsidRPr="00993C92">
        <w:rPr>
          <w:color w:val="000000" w:themeColor="text1"/>
        </w:rPr>
        <w:t>)</w:t>
      </w:r>
      <w:r w:rsidR="001B3C52" w:rsidRPr="00993C92">
        <w:rPr>
          <w:color w:val="000000" w:themeColor="text1"/>
        </w:rPr>
        <w:t>.</w:t>
      </w:r>
      <w:r w:rsidR="00935949" w:rsidRPr="00993C92">
        <w:rPr>
          <w:color w:val="000000" w:themeColor="text1"/>
        </w:rPr>
        <w:t xml:space="preserve"> </w:t>
      </w:r>
      <w:r w:rsidR="00285F90" w:rsidRPr="00993C92">
        <w:rPr>
          <w:color w:val="000000" w:themeColor="text1"/>
        </w:rPr>
        <w:t>For milk caseins, we observed binding to a shared motif from cow, goat, sheep, and water buffalo (a</w:t>
      </w:r>
      <w:r w:rsidR="00935949" w:rsidRPr="00993C92">
        <w:rPr>
          <w:color w:val="000000" w:themeColor="text1"/>
        </w:rPr>
        <w:t>s hinted by alignments of bound peptides to entire proteins</w:t>
      </w:r>
      <w:r w:rsidR="00285F90" w:rsidRPr="00993C92">
        <w:rPr>
          <w:color w:val="000000" w:themeColor="text1"/>
        </w:rPr>
        <w:t xml:space="preserve">, </w:t>
      </w:r>
      <w:r w:rsidR="001D0961" w:rsidRPr="00993C92">
        <w:rPr>
          <w:color w:val="000000" w:themeColor="text1"/>
          <w:u w:val="single"/>
        </w:rPr>
        <w:t>Fig. 2</w:t>
      </w:r>
      <w:r w:rsidR="00285F90" w:rsidRPr="00993C92">
        <w:rPr>
          <w:color w:val="000000" w:themeColor="text1"/>
        </w:rPr>
        <w:t>b).</w:t>
      </w:r>
      <w:r w:rsidR="00377842" w:rsidRPr="00993C92">
        <w:rPr>
          <w:color w:val="000000" w:themeColor="text1"/>
        </w:rPr>
        <w:t xml:space="preserve"> </w:t>
      </w:r>
      <w:r w:rsidR="00BC1ABB" w:rsidRPr="00993C92">
        <w:rPr>
          <w:color w:val="000000" w:themeColor="text1"/>
        </w:rPr>
        <w:t>Also,</w:t>
      </w:r>
      <w:r w:rsidR="00377842" w:rsidRPr="00993C92">
        <w:rPr>
          <w:color w:val="000000" w:themeColor="text1"/>
        </w:rPr>
        <w:t xml:space="preserve"> for diverse legumes ranging from peas, over peanuts to chickpeas we observed antibody binding to a shared motif. Similarly, ovomucoids from various poultry (</w:t>
      </w:r>
      <w:r w:rsidR="00A63495" w:rsidRPr="00993C92">
        <w:rPr>
          <w:color w:val="000000" w:themeColor="text1"/>
        </w:rPr>
        <w:t xml:space="preserve">e.g. </w:t>
      </w:r>
      <w:r w:rsidR="00377842" w:rsidRPr="00993C92">
        <w:rPr>
          <w:color w:val="000000" w:themeColor="text1"/>
        </w:rPr>
        <w:t>chicken, duck</w:t>
      </w:r>
      <w:r w:rsidR="00A63495" w:rsidRPr="00993C92">
        <w:rPr>
          <w:color w:val="000000" w:themeColor="text1"/>
        </w:rPr>
        <w:t>, turkey, goose</w:t>
      </w:r>
      <w:r w:rsidR="00377842" w:rsidRPr="00993C92">
        <w:rPr>
          <w:color w:val="000000" w:themeColor="text1"/>
        </w:rPr>
        <w:t xml:space="preserve">) exhibited binding in a </w:t>
      </w:r>
      <w:r w:rsidR="00BC1ABB" w:rsidRPr="00993C92">
        <w:rPr>
          <w:color w:val="000000" w:themeColor="text1"/>
        </w:rPr>
        <w:t>conserved</w:t>
      </w:r>
      <w:r w:rsidR="00377842" w:rsidRPr="00993C92">
        <w:rPr>
          <w:color w:val="000000" w:themeColor="text1"/>
        </w:rPr>
        <w:t xml:space="preserve"> motif</w:t>
      </w:r>
      <w:r w:rsidR="00A972A4" w:rsidRPr="00993C92">
        <w:rPr>
          <w:color w:val="000000" w:themeColor="text1"/>
        </w:rPr>
        <w:t xml:space="preserve"> (</w:t>
      </w:r>
      <w:r w:rsidR="001D0961" w:rsidRPr="00993C92">
        <w:rPr>
          <w:color w:val="000000" w:themeColor="text1"/>
          <w:u w:val="single"/>
        </w:rPr>
        <w:t>Fig. 2</w:t>
      </w:r>
      <w:r w:rsidR="00A972A4" w:rsidRPr="00993C92">
        <w:rPr>
          <w:color w:val="000000" w:themeColor="text1"/>
        </w:rPr>
        <w:t>f)</w:t>
      </w:r>
      <w:r w:rsidR="00377842" w:rsidRPr="00993C92">
        <w:rPr>
          <w:color w:val="000000" w:themeColor="text1"/>
        </w:rPr>
        <w:t>.</w:t>
      </w:r>
    </w:p>
    <w:p w14:paraId="14FA8A31" w14:textId="72559DB4" w:rsidR="006B1324" w:rsidRPr="00993C92" w:rsidRDefault="006B1324" w:rsidP="00693BA8">
      <w:pPr>
        <w:spacing w:after="0" w:line="257" w:lineRule="auto"/>
        <w:jc w:val="both"/>
        <w:rPr>
          <w:color w:val="000000" w:themeColor="text1"/>
        </w:rPr>
      </w:pPr>
      <w:r w:rsidRPr="00993C92">
        <w:rPr>
          <w:color w:val="000000" w:themeColor="text1"/>
        </w:rPr>
        <w:t>Taken together</w:t>
      </w:r>
      <w:r w:rsidR="00A63495" w:rsidRPr="00993C92">
        <w:rPr>
          <w:color w:val="000000" w:themeColor="text1"/>
        </w:rPr>
        <w:t xml:space="preserve">, </w:t>
      </w:r>
      <w:r w:rsidRPr="00993C92">
        <w:rPr>
          <w:color w:val="000000" w:themeColor="text1"/>
        </w:rPr>
        <w:t>these responses suggest</w:t>
      </w:r>
      <w:r w:rsidR="0073454F" w:rsidRPr="00993C92">
        <w:rPr>
          <w:color w:val="000000" w:themeColor="text1"/>
        </w:rPr>
        <w:t>ed</w:t>
      </w:r>
      <w:r w:rsidRPr="00993C92">
        <w:rPr>
          <w:color w:val="000000" w:themeColor="text1"/>
        </w:rPr>
        <w:t xml:space="preserve"> </w:t>
      </w:r>
      <w:r w:rsidR="00BC1ABB" w:rsidRPr="00993C92">
        <w:rPr>
          <w:color w:val="000000" w:themeColor="text1"/>
        </w:rPr>
        <w:t xml:space="preserve">that </w:t>
      </w:r>
      <w:r w:rsidR="00A63495" w:rsidRPr="00993C92">
        <w:rPr>
          <w:color w:val="000000" w:themeColor="text1"/>
        </w:rPr>
        <w:t xml:space="preserve">exposures to one of the respective proteins sharing a motif, can lead to cross-reactivity to </w:t>
      </w:r>
      <w:r w:rsidR="00537B00" w:rsidRPr="00993C92">
        <w:rPr>
          <w:color w:val="000000" w:themeColor="text1"/>
        </w:rPr>
        <w:t>rather</w:t>
      </w:r>
      <w:r w:rsidR="00A63495" w:rsidRPr="00993C92">
        <w:rPr>
          <w:color w:val="000000" w:themeColor="text1"/>
        </w:rPr>
        <w:t xml:space="preserve"> distantly related species (</w:t>
      </w:r>
      <w:r w:rsidR="00A63495" w:rsidRPr="00993C92">
        <w:rPr>
          <w:i/>
          <w:color w:val="000000" w:themeColor="text1"/>
        </w:rPr>
        <w:t>e.g.</w:t>
      </w:r>
      <w:r w:rsidR="00A63495" w:rsidRPr="00993C92">
        <w:rPr>
          <w:color w:val="000000" w:themeColor="text1"/>
        </w:rPr>
        <w:t xml:space="preserve"> chicken and ostrich egg</w:t>
      </w:r>
      <w:r w:rsidR="00B90603" w:rsidRPr="00993C92">
        <w:rPr>
          <w:color w:val="000000" w:themeColor="text1"/>
        </w:rPr>
        <w:t xml:space="preserve"> proteins</w:t>
      </w:r>
      <w:r w:rsidR="00A63495" w:rsidRPr="00993C92">
        <w:rPr>
          <w:color w:val="000000" w:themeColor="text1"/>
        </w:rPr>
        <w:t>), with potential relevance for diagnostics of allergies.</w:t>
      </w:r>
    </w:p>
    <w:p w14:paraId="4B9E8BDE" w14:textId="155559EA" w:rsidR="00043296" w:rsidRPr="00993C92" w:rsidRDefault="00043296" w:rsidP="00693BA8">
      <w:pPr>
        <w:spacing w:after="0" w:line="257" w:lineRule="auto"/>
        <w:jc w:val="both"/>
        <w:rPr>
          <w:iCs/>
          <w:color w:val="000000" w:themeColor="text1"/>
        </w:rPr>
      </w:pPr>
      <w:r w:rsidRPr="00993C92">
        <w:rPr>
          <w:color w:val="000000" w:themeColor="text1"/>
        </w:rPr>
        <w:t xml:space="preserve">Beyond food proteins, clusters </w:t>
      </w:r>
      <w:r w:rsidR="00200D3F" w:rsidRPr="00993C92">
        <w:rPr>
          <w:color w:val="000000" w:themeColor="text1"/>
        </w:rPr>
        <w:t>of antibody responses against</w:t>
      </w:r>
      <w:r w:rsidRPr="00993C92">
        <w:rPr>
          <w:color w:val="000000" w:themeColor="text1"/>
        </w:rPr>
        <w:t xml:space="preserve"> </w:t>
      </w:r>
      <w:r w:rsidR="00200D3F" w:rsidRPr="00993C92">
        <w:rPr>
          <w:color w:val="000000" w:themeColor="text1"/>
        </w:rPr>
        <w:t xml:space="preserve">bacterial, </w:t>
      </w:r>
      <w:r w:rsidRPr="00993C92">
        <w:rPr>
          <w:color w:val="000000" w:themeColor="text1"/>
        </w:rPr>
        <w:t>fungal</w:t>
      </w:r>
      <w:r w:rsidR="00200D3F" w:rsidRPr="00993C92">
        <w:rPr>
          <w:color w:val="000000" w:themeColor="text1"/>
        </w:rPr>
        <w:t xml:space="preserve">, and insect </w:t>
      </w:r>
      <w:r w:rsidRPr="00993C92">
        <w:rPr>
          <w:color w:val="000000" w:themeColor="text1"/>
        </w:rPr>
        <w:t>proteins</w:t>
      </w:r>
      <w:r w:rsidR="003A3749" w:rsidRPr="00993C92">
        <w:rPr>
          <w:color w:val="000000" w:themeColor="text1"/>
        </w:rPr>
        <w:t xml:space="preserve"> (which had been included as part of the allergen databases)</w:t>
      </w:r>
      <w:r w:rsidRPr="00993C92">
        <w:rPr>
          <w:color w:val="000000" w:themeColor="text1"/>
        </w:rPr>
        <w:t xml:space="preserve"> were observed</w:t>
      </w:r>
      <w:r w:rsidR="00200D3F" w:rsidRPr="00993C92">
        <w:rPr>
          <w:color w:val="000000" w:themeColor="text1"/>
        </w:rPr>
        <w:t xml:space="preserve"> (</w:t>
      </w:r>
      <w:r w:rsidR="001D0961" w:rsidRPr="00993C92">
        <w:rPr>
          <w:color w:val="000000" w:themeColor="text1"/>
          <w:u w:val="single"/>
        </w:rPr>
        <w:t>Fig. 2</w:t>
      </w:r>
      <w:r w:rsidR="004F6496" w:rsidRPr="00993C92">
        <w:rPr>
          <w:color w:val="000000" w:themeColor="text1"/>
        </w:rPr>
        <w:t xml:space="preserve">h,I; </w:t>
      </w:r>
      <w:r w:rsidR="00B13520" w:rsidRPr="00993C92">
        <w:rPr>
          <w:color w:val="000000" w:themeColor="text1"/>
        </w:rPr>
        <w:t xml:space="preserve">Figure S </w:t>
      </w:r>
      <w:r w:rsidR="00B13520" w:rsidRPr="00993C92">
        <w:rPr>
          <w:noProof/>
          <w:color w:val="000000" w:themeColor="text1"/>
        </w:rPr>
        <w:t>3</w:t>
      </w:r>
      <w:r w:rsidR="004F6496" w:rsidRPr="00993C92">
        <w:rPr>
          <w:color w:val="000000" w:themeColor="text1"/>
        </w:rPr>
        <w:t>a,k,l,m</w:t>
      </w:r>
      <w:r w:rsidR="00200D3F" w:rsidRPr="00993C92">
        <w:rPr>
          <w:color w:val="000000" w:themeColor="text1"/>
        </w:rPr>
        <w:t xml:space="preserve">). Bound proteins included a </w:t>
      </w:r>
      <w:r w:rsidR="00B41845" w:rsidRPr="00993C92">
        <w:rPr>
          <w:color w:val="000000" w:themeColor="text1"/>
        </w:rPr>
        <w:t>s</w:t>
      </w:r>
      <w:r w:rsidR="00200D3F" w:rsidRPr="00993C92">
        <w:rPr>
          <w:color w:val="000000" w:themeColor="text1"/>
        </w:rPr>
        <w:t xml:space="preserve">ubtilisin-like protease from </w:t>
      </w:r>
      <w:r w:rsidR="00200D3F" w:rsidRPr="00993C92">
        <w:rPr>
          <w:i/>
          <w:iCs/>
          <w:color w:val="000000" w:themeColor="text1"/>
        </w:rPr>
        <w:t>T</w:t>
      </w:r>
      <w:r w:rsidR="00200D3F" w:rsidRPr="00993C92">
        <w:rPr>
          <w:i/>
          <w:color w:val="000000" w:themeColor="text1"/>
        </w:rPr>
        <w:t>richophyton rubrum</w:t>
      </w:r>
      <w:r w:rsidR="00200D3F" w:rsidRPr="00993C92">
        <w:rPr>
          <w:iCs/>
          <w:color w:val="000000" w:themeColor="text1"/>
        </w:rPr>
        <w:t xml:space="preserve"> (the most common fungus causing athlete's foot, </w:t>
      </w:r>
      <w:r w:rsidR="001D0961" w:rsidRPr="00993C92">
        <w:rPr>
          <w:color w:val="000000" w:themeColor="text1"/>
          <w:u w:val="single"/>
        </w:rPr>
        <w:t>Fig. 2</w:t>
      </w:r>
      <w:r w:rsidR="004F6496" w:rsidRPr="00993C92">
        <w:rPr>
          <w:color w:val="000000" w:themeColor="text1"/>
        </w:rPr>
        <w:t>h</w:t>
      </w:r>
      <w:r w:rsidR="00200D3F" w:rsidRPr="00993C92">
        <w:rPr>
          <w:iCs/>
          <w:color w:val="000000" w:themeColor="text1"/>
        </w:rPr>
        <w:t>) and Streptokinase (a know</w:t>
      </w:r>
      <w:r w:rsidR="00693BA8" w:rsidRPr="00993C92">
        <w:rPr>
          <w:iCs/>
          <w:color w:val="000000" w:themeColor="text1"/>
        </w:rPr>
        <w:t>n</w:t>
      </w:r>
      <w:r w:rsidR="00200D3F" w:rsidRPr="00993C92">
        <w:rPr>
          <w:iCs/>
          <w:color w:val="000000" w:themeColor="text1"/>
        </w:rPr>
        <w:t xml:space="preserve"> bacterial virulence factor against which few people can develop </w:t>
      </w:r>
      <w:r w:rsidR="00693BA8" w:rsidRPr="00993C92">
        <w:rPr>
          <w:iCs/>
          <w:color w:val="000000" w:themeColor="text1"/>
        </w:rPr>
        <w:t xml:space="preserve">IgE responses and </w:t>
      </w:r>
      <w:r w:rsidR="00200D3F" w:rsidRPr="00993C92">
        <w:rPr>
          <w:iCs/>
          <w:color w:val="000000" w:themeColor="text1"/>
        </w:rPr>
        <w:t>allergies</w:t>
      </w:r>
      <w:r w:rsidR="00693BA8" w:rsidRPr="00993C92">
        <w:rPr>
          <w:iCs/>
          <w:color w:val="000000" w:themeColor="text1"/>
        </w:rPr>
        <w:t>).</w:t>
      </w:r>
    </w:p>
    <w:p w14:paraId="6E44B3C4" w14:textId="57FEF396" w:rsidR="00693BA8" w:rsidRPr="00993C92" w:rsidRDefault="00F22CD0" w:rsidP="00693BA8">
      <w:pPr>
        <w:jc w:val="both"/>
        <w:rPr>
          <w:color w:val="000000" w:themeColor="text1"/>
        </w:rPr>
      </w:pPr>
      <w:r w:rsidRPr="00993C92">
        <w:rPr>
          <w:color w:val="000000" w:themeColor="text1"/>
        </w:rPr>
        <w:t>Moreover, w</w:t>
      </w:r>
      <w:r w:rsidR="00693BA8" w:rsidRPr="00993C92">
        <w:rPr>
          <w:color w:val="000000" w:themeColor="text1"/>
        </w:rPr>
        <w:t xml:space="preserve">e </w:t>
      </w:r>
      <w:r w:rsidRPr="00993C92">
        <w:rPr>
          <w:color w:val="000000" w:themeColor="text1"/>
        </w:rPr>
        <w:t>o</w:t>
      </w:r>
      <w:r w:rsidR="00693BA8" w:rsidRPr="00993C92">
        <w:rPr>
          <w:color w:val="000000" w:themeColor="text1"/>
        </w:rPr>
        <w:t>bserved two clusters</w:t>
      </w:r>
      <w:r w:rsidR="007D788A" w:rsidRPr="00993C92">
        <w:rPr>
          <w:color w:val="000000" w:themeColor="text1"/>
        </w:rPr>
        <w:t xml:space="preserve"> (</w:t>
      </w:r>
      <w:r w:rsidR="00B13520" w:rsidRPr="00993C92">
        <w:rPr>
          <w:color w:val="000000" w:themeColor="text1"/>
        </w:rPr>
        <w:t xml:space="preserve">Figure S </w:t>
      </w:r>
      <w:r w:rsidR="00B13520" w:rsidRPr="00993C92">
        <w:rPr>
          <w:noProof/>
          <w:color w:val="000000" w:themeColor="text1"/>
        </w:rPr>
        <w:t>3</w:t>
      </w:r>
      <w:r w:rsidR="004F6496" w:rsidRPr="00993C92">
        <w:rPr>
          <w:color w:val="000000" w:themeColor="text1"/>
        </w:rPr>
        <w:t>l,m</w:t>
      </w:r>
      <w:r w:rsidR="007D788A" w:rsidRPr="00993C92">
        <w:rPr>
          <w:color w:val="000000" w:themeColor="text1"/>
        </w:rPr>
        <w:t>) of antibody responses targeting the</w:t>
      </w:r>
      <w:r w:rsidR="00693BA8" w:rsidRPr="00993C92">
        <w:rPr>
          <w:color w:val="000000" w:themeColor="text1"/>
        </w:rPr>
        <w:t xml:space="preserve"> insect proteins arginine kinase and tropomyosin. These responses appear to represent </w:t>
      </w:r>
      <w:r w:rsidR="00B5788B" w:rsidRPr="00993C92">
        <w:rPr>
          <w:color w:val="000000" w:themeColor="text1"/>
        </w:rPr>
        <w:t>cross</w:t>
      </w:r>
      <w:r w:rsidR="00693BA8" w:rsidRPr="00993C92">
        <w:rPr>
          <w:color w:val="000000" w:themeColor="text1"/>
        </w:rPr>
        <w:t>-</w:t>
      </w:r>
      <w:r w:rsidR="00B5788B" w:rsidRPr="00993C92">
        <w:rPr>
          <w:color w:val="000000" w:themeColor="text1"/>
        </w:rPr>
        <w:t xml:space="preserve">reactivity from </w:t>
      </w:r>
      <w:r w:rsidR="00693BA8" w:rsidRPr="00993C92">
        <w:rPr>
          <w:color w:val="000000" w:themeColor="text1"/>
        </w:rPr>
        <w:t xml:space="preserve">potential </w:t>
      </w:r>
      <w:r w:rsidR="00B5788B" w:rsidRPr="00993C92">
        <w:rPr>
          <w:color w:val="000000" w:themeColor="text1"/>
        </w:rPr>
        <w:t>contact with dust mites, cockroaches, bumblebees or wasps</w:t>
      </w:r>
      <w:r w:rsidR="00693BA8" w:rsidRPr="00993C92">
        <w:rPr>
          <w:color w:val="000000" w:themeColor="text1"/>
        </w:rPr>
        <w:t xml:space="preserve">, </w:t>
      </w:r>
      <w:r w:rsidR="00B5788B" w:rsidRPr="00993C92">
        <w:rPr>
          <w:color w:val="000000" w:themeColor="text1"/>
        </w:rPr>
        <w:t xml:space="preserve">rather than </w:t>
      </w:r>
      <w:r w:rsidR="003261B8" w:rsidRPr="00993C92">
        <w:rPr>
          <w:color w:val="000000" w:themeColor="text1"/>
        </w:rPr>
        <w:t>exotic moths or crabs (which however share a high sequence similarity for these motifs</w:t>
      </w:r>
      <w:r w:rsidR="007D788A" w:rsidRPr="00993C92">
        <w:rPr>
          <w:color w:val="000000" w:themeColor="text1"/>
        </w:rPr>
        <w:t xml:space="preserve"> and were detected</w:t>
      </w:r>
      <w:r w:rsidR="002702AF" w:rsidRPr="00993C92">
        <w:rPr>
          <w:color w:val="000000" w:themeColor="text1"/>
        </w:rPr>
        <w:t xml:space="preserve"> as well</w:t>
      </w:r>
      <w:r w:rsidR="007D788A" w:rsidRPr="00993C92">
        <w:rPr>
          <w:color w:val="000000" w:themeColor="text1"/>
        </w:rPr>
        <w:t xml:space="preserve">, </w:t>
      </w:r>
      <w:r w:rsidR="00B13520" w:rsidRPr="00993C92">
        <w:rPr>
          <w:color w:val="000000" w:themeColor="text1"/>
        </w:rPr>
        <w:t xml:space="preserve">Figure S </w:t>
      </w:r>
      <w:r w:rsidR="00B13520" w:rsidRPr="00993C92">
        <w:rPr>
          <w:noProof/>
          <w:color w:val="000000" w:themeColor="text1"/>
        </w:rPr>
        <w:t>3</w:t>
      </w:r>
      <w:r w:rsidR="004F6496" w:rsidRPr="00993C92">
        <w:rPr>
          <w:color w:val="000000" w:themeColor="text1"/>
        </w:rPr>
        <w:t>l,m</w:t>
      </w:r>
      <w:r w:rsidR="00A27DAB" w:rsidRPr="00993C92">
        <w:rPr>
          <w:color w:val="000000" w:themeColor="text1"/>
        </w:rPr>
        <w:t xml:space="preserve">, </w:t>
      </w:r>
      <w:r w:rsidR="00AD4579" w:rsidRPr="00993C92">
        <w:rPr>
          <w:color w:val="000000" w:themeColor="text1"/>
        </w:rPr>
        <w:t xml:space="preserve">Table S </w:t>
      </w:r>
      <w:r w:rsidR="00AD4579" w:rsidRPr="00993C92">
        <w:rPr>
          <w:noProof/>
          <w:color w:val="000000" w:themeColor="text1"/>
        </w:rPr>
        <w:t>2</w:t>
      </w:r>
      <w:r w:rsidR="003261B8" w:rsidRPr="00993C92">
        <w:rPr>
          <w:color w:val="000000" w:themeColor="text1"/>
        </w:rPr>
        <w:t>).</w:t>
      </w:r>
      <w:r w:rsidR="00693BA8" w:rsidRPr="00993C92">
        <w:rPr>
          <w:color w:val="000000" w:themeColor="text1"/>
        </w:rPr>
        <w:t xml:space="preserve"> </w:t>
      </w:r>
      <w:r w:rsidR="005C0F93" w:rsidRPr="00993C92">
        <w:rPr>
          <w:color w:val="000000" w:themeColor="text1"/>
        </w:rPr>
        <w:t>C</w:t>
      </w:r>
      <w:r w:rsidR="00693BA8" w:rsidRPr="00993C92">
        <w:rPr>
          <w:color w:val="000000" w:themeColor="text1"/>
        </w:rPr>
        <w:t>luster</w:t>
      </w:r>
      <w:r w:rsidR="000851D6" w:rsidRPr="00993C92">
        <w:rPr>
          <w:color w:val="000000" w:themeColor="text1"/>
        </w:rPr>
        <w:t>s</w:t>
      </w:r>
      <w:r w:rsidR="00693BA8" w:rsidRPr="00993C92">
        <w:rPr>
          <w:color w:val="000000" w:themeColor="text1"/>
        </w:rPr>
        <w:t xml:space="preserve"> </w:t>
      </w:r>
      <w:r w:rsidR="005C0F93" w:rsidRPr="00993C92">
        <w:rPr>
          <w:color w:val="000000" w:themeColor="text1"/>
        </w:rPr>
        <w:t xml:space="preserve">of antibody responses also </w:t>
      </w:r>
      <w:r w:rsidR="000851D6" w:rsidRPr="00993C92">
        <w:rPr>
          <w:color w:val="000000" w:themeColor="text1"/>
        </w:rPr>
        <w:t>exist</w:t>
      </w:r>
      <w:r w:rsidR="005C0F93" w:rsidRPr="00993C92">
        <w:rPr>
          <w:color w:val="000000" w:themeColor="text1"/>
        </w:rPr>
        <w:t xml:space="preserve"> </w:t>
      </w:r>
      <w:r w:rsidR="000851D6" w:rsidRPr="00993C92">
        <w:rPr>
          <w:color w:val="000000" w:themeColor="text1"/>
        </w:rPr>
        <w:t>among</w:t>
      </w:r>
      <w:r w:rsidR="00693BA8" w:rsidRPr="00993C92">
        <w:rPr>
          <w:color w:val="000000" w:themeColor="text1"/>
        </w:rPr>
        <w:t xml:space="preserve"> viruses and pathogens from the IEDB, which in part originated from shared epitopes as well </w:t>
      </w:r>
      <w:r w:rsidR="0030095D" w:rsidRPr="00993C92">
        <w:rPr>
          <w:color w:val="000000" w:themeColor="text1"/>
        </w:rPr>
        <w:t xml:space="preserve">as from </w:t>
      </w:r>
      <w:r w:rsidR="00693BA8" w:rsidRPr="00993C92">
        <w:rPr>
          <w:color w:val="000000" w:themeColor="text1"/>
        </w:rPr>
        <w:t xml:space="preserve">potential polyclonal responses (see </w:t>
      </w:r>
      <w:r w:rsidR="007D3885" w:rsidRPr="00993C92">
        <w:rPr>
          <w:color w:val="000000" w:themeColor="text1"/>
        </w:rPr>
        <w:t xml:space="preserve">Figure S </w:t>
      </w:r>
      <w:r w:rsidR="007D3885" w:rsidRPr="00993C92">
        <w:rPr>
          <w:noProof/>
          <w:color w:val="000000" w:themeColor="text1"/>
        </w:rPr>
        <w:t>4</w:t>
      </w:r>
      <w:r w:rsidR="00693BA8" w:rsidRPr="00993C92">
        <w:rPr>
          <w:color w:val="000000" w:themeColor="text1"/>
        </w:rPr>
        <w:t xml:space="preserve"> and </w:t>
      </w:r>
      <w:r w:rsidR="00AD4579" w:rsidRPr="00993C92">
        <w:rPr>
          <w:color w:val="000000" w:themeColor="text1"/>
        </w:rPr>
        <w:t xml:space="preserve">Table S </w:t>
      </w:r>
      <w:r w:rsidR="00AD4579" w:rsidRPr="00993C92">
        <w:rPr>
          <w:noProof/>
          <w:color w:val="000000" w:themeColor="text1"/>
        </w:rPr>
        <w:t>2</w:t>
      </w:r>
      <w:r w:rsidR="00693BA8" w:rsidRPr="00993C92">
        <w:rPr>
          <w:color w:val="000000" w:themeColor="text1"/>
        </w:rPr>
        <w:t>).</w:t>
      </w:r>
      <w:r w:rsidR="009630AC" w:rsidRPr="00993C92">
        <w:rPr>
          <w:color w:val="000000" w:themeColor="text1"/>
        </w:rPr>
        <w:t xml:space="preserve"> Combined cluster</w:t>
      </w:r>
      <w:r w:rsidR="003E77A2" w:rsidRPr="00993C92">
        <w:rPr>
          <w:color w:val="000000" w:themeColor="text1"/>
        </w:rPr>
        <w:t>s</w:t>
      </w:r>
      <w:r w:rsidR="009630AC" w:rsidRPr="00993C92">
        <w:rPr>
          <w:color w:val="000000" w:themeColor="text1"/>
        </w:rPr>
        <w:t xml:space="preserve"> of antigens from allergen databases and the IEDB </w:t>
      </w:r>
      <w:r w:rsidR="00CB2FE7" w:rsidRPr="00993C92">
        <w:rPr>
          <w:color w:val="000000" w:themeColor="text1"/>
        </w:rPr>
        <w:t>(</w:t>
      </w:r>
      <w:r w:rsidR="007D3885" w:rsidRPr="00993C92">
        <w:rPr>
          <w:color w:val="000000" w:themeColor="text1"/>
          <w:u w:val="single"/>
        </w:rPr>
        <w:t xml:space="preserve">Fig. </w:t>
      </w:r>
      <w:r w:rsidR="007D3885" w:rsidRPr="00993C92">
        <w:rPr>
          <w:noProof/>
          <w:color w:val="000000" w:themeColor="text1"/>
          <w:u w:val="single"/>
        </w:rPr>
        <w:t>3</w:t>
      </w:r>
      <w:r w:rsidR="00CB2FE7" w:rsidRPr="00993C92">
        <w:rPr>
          <w:color w:val="000000" w:themeColor="text1"/>
        </w:rPr>
        <w:t xml:space="preserve">) </w:t>
      </w:r>
      <w:r w:rsidR="009630AC" w:rsidRPr="00993C92">
        <w:rPr>
          <w:color w:val="000000" w:themeColor="text1"/>
        </w:rPr>
        <w:t>did not show clear cross-reactivity and epitope similarity between food proteins and infectious diseases</w:t>
      </w:r>
      <w:r w:rsidR="00FF231D" w:rsidRPr="00993C92">
        <w:rPr>
          <w:color w:val="000000" w:themeColor="text1"/>
        </w:rPr>
        <w:t xml:space="preserve"> with </w:t>
      </w:r>
      <w:r w:rsidR="00B3045C" w:rsidRPr="00993C92">
        <w:rPr>
          <w:color w:val="000000" w:themeColor="text1"/>
        </w:rPr>
        <w:t xml:space="preserve">the </w:t>
      </w:r>
      <w:r w:rsidR="00FF231D" w:rsidRPr="00993C92">
        <w:rPr>
          <w:color w:val="000000" w:themeColor="text1"/>
        </w:rPr>
        <w:t>sets of antigens</w:t>
      </w:r>
      <w:r w:rsidR="00B3045C" w:rsidRPr="00993C92">
        <w:rPr>
          <w:color w:val="000000" w:themeColor="text1"/>
        </w:rPr>
        <w:t xml:space="preserve"> covered by our library</w:t>
      </w:r>
      <w:r w:rsidR="00FF231D" w:rsidRPr="00993C92">
        <w:rPr>
          <w:color w:val="000000" w:themeColor="text1"/>
        </w:rPr>
        <w:t xml:space="preserve">. This finding does not directly support the </w:t>
      </w:r>
      <w:r w:rsidR="00B3045C" w:rsidRPr="00993C92">
        <w:rPr>
          <w:color w:val="000000" w:themeColor="text1"/>
        </w:rPr>
        <w:t>idea</w:t>
      </w:r>
      <w:r w:rsidR="00FF231D" w:rsidRPr="00993C92">
        <w:rPr>
          <w:color w:val="000000" w:themeColor="text1"/>
        </w:rPr>
        <w:t>, that the observed Ig responses against food are driven primarily by co-infection cross-reactivity (</w:t>
      </w:r>
      <w:r w:rsidR="007D3885" w:rsidRPr="00993C92">
        <w:rPr>
          <w:color w:val="000000" w:themeColor="text1"/>
          <w:u w:val="single"/>
        </w:rPr>
        <w:t xml:space="preserve">Fig. </w:t>
      </w:r>
      <w:r w:rsidR="007D3885" w:rsidRPr="00993C92">
        <w:rPr>
          <w:noProof/>
          <w:color w:val="000000" w:themeColor="text1"/>
          <w:u w:val="single"/>
        </w:rPr>
        <w:t>3</w:t>
      </w:r>
      <w:r w:rsidR="00FF231D" w:rsidRPr="00993C92">
        <w:rPr>
          <w:color w:val="000000" w:themeColor="text1"/>
        </w:rPr>
        <w:t>). However, given that unknown antigens or pathogens not deposited in databases could be involved, we cannot exclude this hypothesis (see the discussion section for details</w:t>
      </w:r>
      <w:r w:rsidR="009630AC" w:rsidRPr="00993C92">
        <w:rPr>
          <w:color w:val="000000" w:themeColor="text1"/>
        </w:rPr>
        <w:t>)</w:t>
      </w:r>
      <w:r w:rsidR="00FF231D" w:rsidRPr="00993C92">
        <w:rPr>
          <w:color w:val="000000" w:themeColor="text1"/>
        </w:rPr>
        <w:t>.</w:t>
      </w:r>
    </w:p>
    <w:p w14:paraId="537CD83F" w14:textId="7BDF16D9" w:rsidR="00372E2A" w:rsidRPr="00993C92" w:rsidRDefault="00087671" w:rsidP="00372E2A">
      <w:pPr>
        <w:pStyle w:val="Heading2"/>
        <w:rPr>
          <w:color w:val="000000" w:themeColor="text1"/>
        </w:rPr>
      </w:pPr>
      <w:r w:rsidRPr="00993C92">
        <w:rPr>
          <w:color w:val="000000" w:themeColor="text1"/>
        </w:rPr>
        <w:t>PhIP-Seq based on protein A/G beads detects primarily IgG against food</w:t>
      </w:r>
      <w:r w:rsidR="000051B9" w:rsidRPr="00993C92">
        <w:rPr>
          <w:color w:val="000000" w:themeColor="text1"/>
        </w:rPr>
        <w:t xml:space="preserve"> proteins</w:t>
      </w:r>
    </w:p>
    <w:p w14:paraId="3FAA6D00" w14:textId="773F5E25" w:rsidR="00092EF3" w:rsidRPr="00993C92" w:rsidRDefault="00C66590" w:rsidP="005F4FC8">
      <w:pPr>
        <w:spacing w:after="0" w:line="257" w:lineRule="auto"/>
        <w:jc w:val="both"/>
        <w:rPr>
          <w:color w:val="000000" w:themeColor="text1"/>
        </w:rPr>
      </w:pPr>
      <w:r w:rsidRPr="00993C92">
        <w:rPr>
          <w:color w:val="000000" w:themeColor="text1"/>
        </w:rPr>
        <w:t xml:space="preserve">As </w:t>
      </w:r>
      <w:r w:rsidR="00FA40EE" w:rsidRPr="00993C92">
        <w:rPr>
          <w:color w:val="000000" w:themeColor="text1"/>
        </w:rPr>
        <w:t>both systemic IgG and IgA responses against selected food antigens ha</w:t>
      </w:r>
      <w:r w:rsidR="00CB2FE7" w:rsidRPr="00993C92">
        <w:rPr>
          <w:color w:val="000000" w:themeColor="text1"/>
        </w:rPr>
        <w:t>ve</w:t>
      </w:r>
      <w:r w:rsidR="00FA40EE" w:rsidRPr="00993C92">
        <w:rPr>
          <w:color w:val="000000" w:themeColor="text1"/>
        </w:rPr>
        <w:t xml:space="preserve"> been reported</w:t>
      </w:r>
      <w:r w:rsidR="00055EE2" w:rsidRPr="00993C92">
        <w:rPr>
          <w:color w:val="000000" w:themeColor="text1"/>
        </w:rPr>
        <w:t xml:space="preserve"> </w:t>
      </w:r>
      <w:r w:rsidR="00282B43" w:rsidRPr="00993C92">
        <w:rPr>
          <w:noProof/>
          <w:color w:val="000000" w:themeColor="text1"/>
        </w:rPr>
        <w:t>(Gocki and Bartuzi, 2016; Hamilton, 2009; Husby et al., 1985; Konstantinou et al., 2014a, 2014b; Stapel et al., 2008; Vazquez-Ortiz et al., 2013)</w:t>
      </w:r>
      <w:r w:rsidR="00FA40EE" w:rsidRPr="00993C92">
        <w:rPr>
          <w:color w:val="000000" w:themeColor="text1"/>
        </w:rPr>
        <w:t xml:space="preserve">, we aimed to characterize the Ig classes detected </w:t>
      </w:r>
      <w:r w:rsidR="00564668" w:rsidRPr="00993C92">
        <w:rPr>
          <w:color w:val="000000" w:themeColor="text1"/>
        </w:rPr>
        <w:t>bind</w:t>
      </w:r>
      <w:r w:rsidR="008C154F" w:rsidRPr="00993C92">
        <w:rPr>
          <w:color w:val="000000" w:themeColor="text1"/>
        </w:rPr>
        <w:t>ing</w:t>
      </w:r>
      <w:r w:rsidR="00564668" w:rsidRPr="00993C92">
        <w:rPr>
          <w:color w:val="000000" w:themeColor="text1"/>
        </w:rPr>
        <w:t xml:space="preserve"> to food </w:t>
      </w:r>
      <w:r w:rsidR="002E42A3" w:rsidRPr="00993C92">
        <w:rPr>
          <w:color w:val="000000" w:themeColor="text1"/>
        </w:rPr>
        <w:t xml:space="preserve">proteins </w:t>
      </w:r>
      <w:r w:rsidR="00FA40EE" w:rsidRPr="00993C92">
        <w:rPr>
          <w:color w:val="000000" w:themeColor="text1"/>
        </w:rPr>
        <w:t>in our PhIP-Seq workflow</w:t>
      </w:r>
      <w:r w:rsidR="00055EE2" w:rsidRPr="00993C92">
        <w:rPr>
          <w:color w:val="000000" w:themeColor="text1"/>
        </w:rPr>
        <w:t xml:space="preserve"> (</w:t>
      </w:r>
      <w:r w:rsidR="00AD4579" w:rsidRPr="00993C92">
        <w:rPr>
          <w:color w:val="000000" w:themeColor="text1"/>
          <w:u w:val="single"/>
        </w:rPr>
        <w:t xml:space="preserve">Fig. </w:t>
      </w:r>
      <w:r w:rsidR="00AD4579" w:rsidRPr="00993C92">
        <w:rPr>
          <w:noProof/>
          <w:color w:val="000000" w:themeColor="text1"/>
          <w:u w:val="single"/>
        </w:rPr>
        <w:t>4</w:t>
      </w:r>
      <w:r w:rsidR="00055EE2" w:rsidRPr="00993C92">
        <w:rPr>
          <w:color w:val="000000" w:themeColor="text1"/>
        </w:rPr>
        <w:t>)</w:t>
      </w:r>
      <w:r w:rsidR="00FA40EE" w:rsidRPr="00993C92">
        <w:rPr>
          <w:color w:val="000000" w:themeColor="text1"/>
        </w:rPr>
        <w:t xml:space="preserve">. </w:t>
      </w:r>
      <w:r w:rsidR="00055EE2" w:rsidRPr="00993C92">
        <w:rPr>
          <w:color w:val="000000" w:themeColor="text1"/>
        </w:rPr>
        <w:t>Our default experimental setup relie</w:t>
      </w:r>
      <w:r w:rsidR="0073454F" w:rsidRPr="00993C92">
        <w:rPr>
          <w:color w:val="000000" w:themeColor="text1"/>
        </w:rPr>
        <w:t>d</w:t>
      </w:r>
      <w:r w:rsidR="00055EE2" w:rsidRPr="00993C92">
        <w:rPr>
          <w:color w:val="000000" w:themeColor="text1"/>
        </w:rPr>
        <w:t xml:space="preserve"> on a mixture of </w:t>
      </w:r>
      <w:r w:rsidR="00055EE2" w:rsidRPr="00993C92">
        <w:rPr>
          <w:color w:val="000000" w:themeColor="text1"/>
        </w:rPr>
        <w:lastRenderedPageBreak/>
        <w:t>protein A and protein G coated beads (which binds all antibody classes</w:t>
      </w:r>
      <w:r w:rsidR="00092EF3" w:rsidRPr="00993C92">
        <w:rPr>
          <w:color w:val="000000" w:themeColor="text1"/>
        </w:rPr>
        <w:t>, yet with varying affinity</w:t>
      </w:r>
      <w:r w:rsidR="002E42A3" w:rsidRPr="00993C92">
        <w:rPr>
          <w:color w:val="000000" w:themeColor="text1"/>
        </w:rPr>
        <w:t xml:space="preserve">, see </w:t>
      </w:r>
      <w:r w:rsidR="00AD4579" w:rsidRPr="00993C92">
        <w:rPr>
          <w:color w:val="000000" w:themeColor="text1"/>
        </w:rPr>
        <w:t>STAR methods for details</w:t>
      </w:r>
      <w:r w:rsidR="00055EE2" w:rsidRPr="00993C92">
        <w:rPr>
          <w:color w:val="000000" w:themeColor="text1"/>
        </w:rPr>
        <w:t>)</w:t>
      </w:r>
      <w:r w:rsidR="00092EF3" w:rsidRPr="00993C92">
        <w:rPr>
          <w:color w:val="000000" w:themeColor="text1"/>
        </w:rPr>
        <w:t xml:space="preserve">. To distinguish between Ig classes we performed experiments with protein A </w:t>
      </w:r>
      <w:r w:rsidR="002E42A3" w:rsidRPr="00993C92">
        <w:rPr>
          <w:color w:val="000000" w:themeColor="text1"/>
        </w:rPr>
        <w:t>or</w:t>
      </w:r>
      <w:r w:rsidR="00092EF3" w:rsidRPr="00993C92">
        <w:rPr>
          <w:color w:val="000000" w:themeColor="text1"/>
        </w:rPr>
        <w:t xml:space="preserve"> protein G coated beads </w:t>
      </w:r>
      <w:r w:rsidR="001F2937" w:rsidRPr="00993C92">
        <w:rPr>
          <w:color w:val="000000" w:themeColor="text1"/>
        </w:rPr>
        <w:t>separately</w:t>
      </w:r>
      <w:r w:rsidR="00092EF3" w:rsidRPr="00993C92">
        <w:rPr>
          <w:color w:val="000000" w:themeColor="text1"/>
        </w:rPr>
        <w:t xml:space="preserve"> (</w:t>
      </w:r>
      <w:r w:rsidR="00AD4579" w:rsidRPr="00993C92">
        <w:rPr>
          <w:color w:val="000000" w:themeColor="text1"/>
          <w:u w:val="single"/>
        </w:rPr>
        <w:t xml:space="preserve">Fig. </w:t>
      </w:r>
      <w:r w:rsidR="00AD4579" w:rsidRPr="00993C92">
        <w:rPr>
          <w:noProof/>
          <w:color w:val="000000" w:themeColor="text1"/>
          <w:u w:val="single"/>
        </w:rPr>
        <w:t>4</w:t>
      </w:r>
      <w:r w:rsidR="00092EF3" w:rsidRPr="00993C92">
        <w:rPr>
          <w:color w:val="000000" w:themeColor="text1"/>
        </w:rPr>
        <w:t>a-c), as well as dedicated IgG and IgA specific capture antibodies (</w:t>
      </w:r>
      <w:r w:rsidR="00AD4579" w:rsidRPr="00993C92">
        <w:rPr>
          <w:color w:val="000000" w:themeColor="text1"/>
          <w:u w:val="single"/>
        </w:rPr>
        <w:t xml:space="preserve">Fig. </w:t>
      </w:r>
      <w:r w:rsidR="00AD4579" w:rsidRPr="00993C92">
        <w:rPr>
          <w:noProof/>
          <w:color w:val="000000" w:themeColor="text1"/>
          <w:u w:val="single"/>
        </w:rPr>
        <w:t>4</w:t>
      </w:r>
      <w:r w:rsidR="00092EF3" w:rsidRPr="00993C92">
        <w:rPr>
          <w:color w:val="000000" w:themeColor="text1"/>
        </w:rPr>
        <w:t xml:space="preserve">d-f, </w:t>
      </w:r>
      <w:r w:rsidR="007A575B" w:rsidRPr="00993C92">
        <w:rPr>
          <w:color w:val="000000" w:themeColor="text1"/>
        </w:rPr>
        <w:t xml:space="preserve">and </w:t>
      </w:r>
      <w:r w:rsidR="009E4163" w:rsidRPr="00993C92">
        <w:rPr>
          <w:color w:val="000000" w:themeColor="text1"/>
        </w:rPr>
        <w:t xml:space="preserve">Table S </w:t>
      </w:r>
      <w:r w:rsidR="009E4163" w:rsidRPr="00993C92">
        <w:rPr>
          <w:noProof/>
          <w:color w:val="000000" w:themeColor="text1"/>
        </w:rPr>
        <w:t>3</w:t>
      </w:r>
      <w:r w:rsidR="00092EF3" w:rsidRPr="00993C92">
        <w:rPr>
          <w:color w:val="000000" w:themeColor="text1"/>
        </w:rPr>
        <w:t xml:space="preserve"> for a list of the bound peptides).</w:t>
      </w:r>
    </w:p>
    <w:p w14:paraId="0AEA1C60" w14:textId="7156E91E" w:rsidR="00457641" w:rsidRPr="00993C92" w:rsidRDefault="00CF0429" w:rsidP="005F4FC8">
      <w:pPr>
        <w:spacing w:after="0" w:line="257" w:lineRule="auto"/>
        <w:jc w:val="both"/>
        <w:rPr>
          <w:color w:val="000000" w:themeColor="text1"/>
        </w:rPr>
      </w:pPr>
      <w:bookmarkStart w:id="10" w:name="_Hlk89349196"/>
      <w:r w:rsidRPr="00993C92">
        <w:rPr>
          <w:color w:val="000000" w:themeColor="text1"/>
        </w:rPr>
        <w:t>Antibody binding between protein A and protein G was strongly correlated (Pearson R=0.</w:t>
      </w:r>
      <w:r w:rsidR="00085BC1" w:rsidRPr="00993C92">
        <w:rPr>
          <w:color w:val="000000" w:themeColor="text1"/>
        </w:rPr>
        <w:t>90</w:t>
      </w:r>
      <w:r w:rsidRPr="00993C92">
        <w:rPr>
          <w:color w:val="000000" w:themeColor="text1"/>
        </w:rPr>
        <w:t>), with few antigens bound only by protein A</w:t>
      </w:r>
      <w:r w:rsidR="00457641" w:rsidRPr="00993C92">
        <w:rPr>
          <w:color w:val="000000" w:themeColor="text1"/>
        </w:rPr>
        <w:t xml:space="preserve"> (</w:t>
      </w:r>
      <w:r w:rsidR="00095CF0" w:rsidRPr="00993C92">
        <w:rPr>
          <w:color w:val="000000" w:themeColor="text1"/>
          <w:u w:val="single"/>
        </w:rPr>
        <w:t xml:space="preserve">Fig. </w:t>
      </w:r>
      <w:r w:rsidR="00095CF0" w:rsidRPr="00993C92">
        <w:rPr>
          <w:noProof/>
          <w:color w:val="000000" w:themeColor="text1"/>
          <w:u w:val="single"/>
        </w:rPr>
        <w:t>4</w:t>
      </w:r>
      <w:r w:rsidR="00457641" w:rsidRPr="00993C92">
        <w:rPr>
          <w:color w:val="000000" w:themeColor="text1"/>
        </w:rPr>
        <w:t>a). Also, comparing binding between the mixture of protein A and G with protein G or protein A, showed high consistency: In the mixture of protein A and G with protein G (</w:t>
      </w:r>
      <w:r w:rsidR="00095CF0" w:rsidRPr="00993C92">
        <w:rPr>
          <w:color w:val="000000" w:themeColor="text1"/>
          <w:u w:val="single"/>
        </w:rPr>
        <w:t xml:space="preserve">Fig. </w:t>
      </w:r>
      <w:r w:rsidR="00095CF0" w:rsidRPr="00993C92">
        <w:rPr>
          <w:noProof/>
          <w:color w:val="000000" w:themeColor="text1"/>
          <w:u w:val="single"/>
        </w:rPr>
        <w:t>4</w:t>
      </w:r>
      <w:r w:rsidR="00457641" w:rsidRPr="00993C92">
        <w:rPr>
          <w:color w:val="000000" w:themeColor="text1"/>
        </w:rPr>
        <w:t>b) antigens bound by protein G are masked, whereas protein A specific binding persists. Vice versa, in the mixture of protein A and G with protein A (</w:t>
      </w:r>
      <w:r w:rsidR="00095CF0" w:rsidRPr="00993C92">
        <w:rPr>
          <w:color w:val="000000" w:themeColor="text1"/>
          <w:u w:val="single"/>
        </w:rPr>
        <w:t xml:space="preserve">Fig. </w:t>
      </w:r>
      <w:r w:rsidR="00095CF0" w:rsidRPr="00993C92">
        <w:rPr>
          <w:noProof/>
          <w:color w:val="000000" w:themeColor="text1"/>
          <w:u w:val="single"/>
        </w:rPr>
        <w:t>4</w:t>
      </w:r>
      <w:r w:rsidR="00457641" w:rsidRPr="00993C92">
        <w:rPr>
          <w:color w:val="000000" w:themeColor="text1"/>
        </w:rPr>
        <w:t xml:space="preserve">c) unique binding by protein A is masked. As protein A and protein </w:t>
      </w:r>
      <w:r w:rsidR="001F2937" w:rsidRPr="00993C92">
        <w:rPr>
          <w:color w:val="000000" w:themeColor="text1"/>
        </w:rPr>
        <w:t xml:space="preserve">G </w:t>
      </w:r>
      <w:r w:rsidR="00457641" w:rsidRPr="00993C92">
        <w:rPr>
          <w:color w:val="000000" w:themeColor="text1"/>
        </w:rPr>
        <w:t>only overlap in their binding profiles to IgG (</w:t>
      </w:r>
      <w:r w:rsidR="00095CF0" w:rsidRPr="00993C92">
        <w:rPr>
          <w:color w:val="000000" w:themeColor="text1"/>
          <w:u w:val="single"/>
        </w:rPr>
        <w:t xml:space="preserve">Fig. </w:t>
      </w:r>
      <w:r w:rsidR="00095CF0" w:rsidRPr="00993C92">
        <w:rPr>
          <w:noProof/>
          <w:color w:val="000000" w:themeColor="text1"/>
          <w:u w:val="single"/>
        </w:rPr>
        <w:t>4</w:t>
      </w:r>
      <w:r w:rsidR="00AA6CAE" w:rsidRPr="00993C92">
        <w:rPr>
          <w:color w:val="000000" w:themeColor="text1"/>
        </w:rPr>
        <w:t xml:space="preserve">S </w:t>
      </w:r>
      <w:r w:rsidR="00AA6CAE" w:rsidRPr="00993C92">
        <w:rPr>
          <w:noProof/>
          <w:color w:val="000000" w:themeColor="text1"/>
        </w:rPr>
        <w:t>8</w:t>
      </w:r>
      <w:r w:rsidR="00457641" w:rsidRPr="00993C92">
        <w:rPr>
          <w:color w:val="000000" w:themeColor="text1"/>
        </w:rPr>
        <w:t>)</w:t>
      </w:r>
      <w:r w:rsidR="00EB2DD6" w:rsidRPr="00993C92">
        <w:rPr>
          <w:color w:val="000000" w:themeColor="text1"/>
        </w:rPr>
        <w:t>, t</w:t>
      </w:r>
      <w:r w:rsidR="00457641" w:rsidRPr="00993C92">
        <w:rPr>
          <w:color w:val="000000" w:themeColor="text1"/>
        </w:rPr>
        <w:t>hese results suggest primary detection of IgG against food antigens in our experimental setting.</w:t>
      </w:r>
    </w:p>
    <w:bookmarkEnd w:id="10"/>
    <w:p w14:paraId="185E52C5" w14:textId="1EE4BB68" w:rsidR="00087671" w:rsidRPr="00993C92" w:rsidRDefault="00457641" w:rsidP="005F4FC8">
      <w:pPr>
        <w:spacing w:after="0" w:line="257" w:lineRule="auto"/>
        <w:jc w:val="both"/>
        <w:rPr>
          <w:color w:val="000000" w:themeColor="text1"/>
        </w:rPr>
      </w:pPr>
      <w:r w:rsidRPr="00993C92">
        <w:rPr>
          <w:color w:val="000000" w:themeColor="text1"/>
        </w:rPr>
        <w:t xml:space="preserve">This </w:t>
      </w:r>
      <w:r w:rsidR="00625AB8" w:rsidRPr="00993C92">
        <w:rPr>
          <w:color w:val="000000" w:themeColor="text1"/>
        </w:rPr>
        <w:t>observation</w:t>
      </w:r>
      <w:r w:rsidRPr="00993C92">
        <w:rPr>
          <w:color w:val="000000" w:themeColor="text1"/>
        </w:rPr>
        <w:t xml:space="preserve"> was further confirmed by employing an alternative experimental workflow relying on magnetic beads coated with IgG and IgA specific capture antibodies</w:t>
      </w:r>
      <w:r w:rsidR="00625AB8" w:rsidRPr="00993C92">
        <w:rPr>
          <w:color w:val="000000" w:themeColor="text1"/>
        </w:rPr>
        <w:t xml:space="preserve"> (rather than using protein A/G for the pulldown, see </w:t>
      </w:r>
      <w:r w:rsidR="007E69D6" w:rsidRPr="00993C92">
        <w:rPr>
          <w:color w:val="000000" w:themeColor="text1"/>
        </w:rPr>
        <w:t>STAR methods</w:t>
      </w:r>
      <w:r w:rsidR="00D844CB" w:rsidRPr="00993C92">
        <w:rPr>
          <w:color w:val="000000" w:themeColor="text1"/>
        </w:rPr>
        <w:t>). Some peptides were nearly exclusively bound by IgA and others near universally by IgG (</w:t>
      </w:r>
      <w:r w:rsidR="007E69D6" w:rsidRPr="00993C92">
        <w:rPr>
          <w:color w:val="000000" w:themeColor="text1"/>
          <w:u w:val="single"/>
        </w:rPr>
        <w:t xml:space="preserve">Fig. </w:t>
      </w:r>
      <w:r w:rsidR="007E69D6" w:rsidRPr="00993C92">
        <w:rPr>
          <w:noProof/>
          <w:color w:val="000000" w:themeColor="text1"/>
          <w:u w:val="single"/>
        </w:rPr>
        <w:t>4</w:t>
      </w:r>
      <w:r w:rsidR="00D844CB" w:rsidRPr="00993C92">
        <w:rPr>
          <w:color w:val="000000" w:themeColor="text1"/>
        </w:rPr>
        <w:t>d), although IgA yielded in general less abundant signals than IgG (</w:t>
      </w:r>
      <w:r w:rsidR="007E69D6" w:rsidRPr="00993C92">
        <w:rPr>
          <w:color w:val="000000" w:themeColor="text1"/>
          <w:u w:val="single"/>
        </w:rPr>
        <w:t xml:space="preserve">Fig. </w:t>
      </w:r>
      <w:r w:rsidR="007E69D6" w:rsidRPr="00993C92">
        <w:rPr>
          <w:noProof/>
          <w:color w:val="000000" w:themeColor="text1"/>
          <w:u w:val="single"/>
        </w:rPr>
        <w:t>4</w:t>
      </w:r>
      <w:r w:rsidR="002E42A3" w:rsidRPr="00993C92">
        <w:rPr>
          <w:color w:val="000000" w:themeColor="text1"/>
        </w:rPr>
        <w:t>g</w:t>
      </w:r>
      <w:r w:rsidR="00D844CB" w:rsidRPr="00993C92">
        <w:rPr>
          <w:color w:val="000000" w:themeColor="text1"/>
        </w:rPr>
        <w:t xml:space="preserve">, </w:t>
      </w:r>
      <w:r w:rsidR="009E4163" w:rsidRPr="00993C92">
        <w:rPr>
          <w:color w:val="000000" w:themeColor="text1"/>
        </w:rPr>
        <w:t xml:space="preserve">Table S </w:t>
      </w:r>
      <w:r w:rsidR="009E4163" w:rsidRPr="00993C92">
        <w:rPr>
          <w:noProof/>
          <w:color w:val="000000" w:themeColor="text1"/>
        </w:rPr>
        <w:t>3</w:t>
      </w:r>
      <w:r w:rsidR="00D844CB" w:rsidRPr="00993C92">
        <w:rPr>
          <w:color w:val="000000" w:themeColor="text1"/>
        </w:rPr>
        <w:t xml:space="preserve">). A third group of peptides showed binding by both IgA and IgG to varying extents. In general, more peptides were bound per sample when using IgG specific </w:t>
      </w:r>
      <w:r w:rsidR="001F2937" w:rsidRPr="00993C92">
        <w:rPr>
          <w:color w:val="000000" w:themeColor="text1"/>
        </w:rPr>
        <w:t xml:space="preserve">beads </w:t>
      </w:r>
      <w:r w:rsidR="00D844CB" w:rsidRPr="00993C92">
        <w:rPr>
          <w:color w:val="000000" w:themeColor="text1"/>
        </w:rPr>
        <w:t>than when employing IgA specific beads</w:t>
      </w:r>
      <w:r w:rsidR="002E42A3" w:rsidRPr="00993C92">
        <w:rPr>
          <w:color w:val="000000" w:themeColor="text1"/>
        </w:rPr>
        <w:t xml:space="preserve"> (</w:t>
      </w:r>
      <w:r w:rsidR="007E69D6" w:rsidRPr="00993C92">
        <w:rPr>
          <w:color w:val="000000" w:themeColor="text1"/>
          <w:u w:val="single"/>
        </w:rPr>
        <w:t xml:space="preserve">Fig. </w:t>
      </w:r>
      <w:r w:rsidR="007E69D6" w:rsidRPr="00993C92">
        <w:rPr>
          <w:noProof/>
          <w:color w:val="000000" w:themeColor="text1"/>
          <w:u w:val="single"/>
        </w:rPr>
        <w:t>4</w:t>
      </w:r>
      <w:r w:rsidR="002E42A3" w:rsidRPr="00993C92">
        <w:rPr>
          <w:color w:val="000000" w:themeColor="text1"/>
        </w:rPr>
        <w:t>g)</w:t>
      </w:r>
      <w:r w:rsidR="00D844CB" w:rsidRPr="00993C92">
        <w:rPr>
          <w:color w:val="000000" w:themeColor="text1"/>
        </w:rPr>
        <w:t xml:space="preserve">. Both </w:t>
      </w:r>
      <w:r w:rsidR="002E42A3" w:rsidRPr="00993C92">
        <w:rPr>
          <w:color w:val="000000" w:themeColor="text1"/>
        </w:rPr>
        <w:t xml:space="preserve">Ig specific </w:t>
      </w:r>
      <w:r w:rsidR="00D844CB" w:rsidRPr="00993C92">
        <w:rPr>
          <w:color w:val="000000" w:themeColor="text1"/>
        </w:rPr>
        <w:t>workflows showe</w:t>
      </w:r>
      <w:r w:rsidR="002E42A3" w:rsidRPr="00993C92">
        <w:rPr>
          <w:color w:val="000000" w:themeColor="text1"/>
        </w:rPr>
        <w:t>d</w:t>
      </w:r>
      <w:r w:rsidR="00D844CB" w:rsidRPr="00993C92">
        <w:rPr>
          <w:color w:val="000000" w:themeColor="text1"/>
        </w:rPr>
        <w:t xml:space="preserve"> lower numbers of enriched antigens </w:t>
      </w:r>
      <w:r w:rsidR="002E42A3" w:rsidRPr="00993C92">
        <w:rPr>
          <w:color w:val="000000" w:themeColor="text1"/>
        </w:rPr>
        <w:t>compared to</w:t>
      </w:r>
      <w:r w:rsidR="00D844CB" w:rsidRPr="00993C92">
        <w:rPr>
          <w:color w:val="000000" w:themeColor="text1"/>
        </w:rPr>
        <w:t xml:space="preserve"> protein A/G beads, possibly owing to technical aspects (</w:t>
      </w:r>
      <w:r w:rsidR="007E69D6" w:rsidRPr="00993C92">
        <w:rPr>
          <w:color w:val="000000" w:themeColor="text1"/>
          <w:u w:val="single"/>
        </w:rPr>
        <w:t xml:space="preserve">Fig. </w:t>
      </w:r>
      <w:r w:rsidR="007E69D6" w:rsidRPr="00993C92">
        <w:rPr>
          <w:noProof/>
          <w:color w:val="000000" w:themeColor="text1"/>
          <w:u w:val="single"/>
        </w:rPr>
        <w:t>4</w:t>
      </w:r>
      <w:r w:rsidR="00D844CB" w:rsidRPr="00993C92">
        <w:rPr>
          <w:color w:val="000000" w:themeColor="text1"/>
        </w:rPr>
        <w:t>).</w:t>
      </w:r>
      <w:r w:rsidR="005F4FC8" w:rsidRPr="00993C92">
        <w:rPr>
          <w:color w:val="000000" w:themeColor="text1"/>
        </w:rPr>
        <w:t xml:space="preserve"> Alternatively, also biological factors such as lower binding rates of IgA to the antigens of our phage library may contribute to these results.</w:t>
      </w:r>
    </w:p>
    <w:p w14:paraId="506B2FA1" w14:textId="67819FA8" w:rsidR="005F4FC8" w:rsidRPr="00993C92" w:rsidRDefault="005F4FC8" w:rsidP="009A552D">
      <w:pPr>
        <w:spacing w:after="0" w:line="257" w:lineRule="auto"/>
        <w:jc w:val="both"/>
        <w:rPr>
          <w:color w:val="000000" w:themeColor="text1"/>
        </w:rPr>
      </w:pPr>
      <w:r w:rsidRPr="00993C92">
        <w:rPr>
          <w:color w:val="000000" w:themeColor="text1"/>
        </w:rPr>
        <w:t>We also compared peptides bound by IgA and IgG to results obtained from the mixture of protein A and G (</w:t>
      </w:r>
      <w:r w:rsidR="007E69D6" w:rsidRPr="00993C92">
        <w:rPr>
          <w:color w:val="000000" w:themeColor="text1"/>
          <w:u w:val="single"/>
        </w:rPr>
        <w:t xml:space="preserve">Fig. </w:t>
      </w:r>
      <w:r w:rsidR="007E69D6" w:rsidRPr="00993C92">
        <w:rPr>
          <w:noProof/>
          <w:color w:val="000000" w:themeColor="text1"/>
          <w:u w:val="single"/>
        </w:rPr>
        <w:t>4</w:t>
      </w:r>
      <w:r w:rsidRPr="00993C92">
        <w:rPr>
          <w:color w:val="000000" w:themeColor="text1"/>
        </w:rPr>
        <w:t>e,f). Peptides bound by IgG and the mixture of protein A+G showed a large overlap (R=0.</w:t>
      </w:r>
      <w:r w:rsidR="00085BC1" w:rsidRPr="00993C92">
        <w:rPr>
          <w:color w:val="000000" w:themeColor="text1"/>
        </w:rPr>
        <w:t>72</w:t>
      </w:r>
      <w:r w:rsidRPr="00993C92">
        <w:rPr>
          <w:color w:val="000000" w:themeColor="text1"/>
        </w:rPr>
        <w:t xml:space="preserve">). In contrast IgA bound peptides showed less overlap to protein A+G (similar to the binding overlap between IgA and IgG, shown in </w:t>
      </w:r>
      <w:r w:rsidR="007E69D6" w:rsidRPr="00993C92">
        <w:rPr>
          <w:color w:val="000000" w:themeColor="text1"/>
          <w:u w:val="single"/>
        </w:rPr>
        <w:t xml:space="preserve">Fig. </w:t>
      </w:r>
      <w:r w:rsidR="007E69D6" w:rsidRPr="00993C92">
        <w:rPr>
          <w:noProof/>
          <w:color w:val="000000" w:themeColor="text1"/>
          <w:u w:val="single"/>
        </w:rPr>
        <w:t>4</w:t>
      </w:r>
      <w:r w:rsidRPr="00993C92">
        <w:rPr>
          <w:color w:val="000000" w:themeColor="text1"/>
        </w:rPr>
        <w:t xml:space="preserve">f vs. d). These results were expected from the protein A vs. G experiments, that had already suggested primarily detection of IgG subtypes. Specifically relating to </w:t>
      </w:r>
      <w:r w:rsidR="001F2937" w:rsidRPr="00993C92">
        <w:rPr>
          <w:color w:val="000000" w:themeColor="text1"/>
        </w:rPr>
        <w:t>anti-dietary immune responses</w:t>
      </w:r>
      <w:r w:rsidRPr="00993C92">
        <w:rPr>
          <w:color w:val="000000" w:themeColor="text1"/>
        </w:rPr>
        <w:t xml:space="preserve">, we found that food antigens were bound at similar </w:t>
      </w:r>
      <w:r w:rsidR="00EB2DD6" w:rsidRPr="00993C92">
        <w:rPr>
          <w:color w:val="000000" w:themeColor="text1"/>
        </w:rPr>
        <w:t>percentages in our study population</w:t>
      </w:r>
      <w:r w:rsidR="00B07A39" w:rsidRPr="00993C92">
        <w:rPr>
          <w:color w:val="000000" w:themeColor="text1"/>
        </w:rPr>
        <w:t xml:space="preserve"> when comparing IgG specific detection workflow with a mixture of protein A and G (S </w:t>
      </w:r>
      <w:r w:rsidR="00B07A39" w:rsidRPr="00993C92">
        <w:rPr>
          <w:noProof/>
          <w:color w:val="000000" w:themeColor="text1"/>
        </w:rPr>
        <w:t>8</w:t>
      </w:r>
      <w:r w:rsidR="00B07A39" w:rsidRPr="00993C92">
        <w:rPr>
          <w:color w:val="000000" w:themeColor="text1"/>
        </w:rPr>
        <w:t>h)</w:t>
      </w:r>
      <w:r w:rsidRPr="00993C92">
        <w:rPr>
          <w:color w:val="000000" w:themeColor="text1"/>
        </w:rPr>
        <w:t>, further supporting detection of IgG responses against food antigens.</w:t>
      </w:r>
    </w:p>
    <w:p w14:paraId="7245F696" w14:textId="5AC69AE8" w:rsidR="00B65B63" w:rsidRPr="00993C92" w:rsidRDefault="00B65B63" w:rsidP="009A552D">
      <w:pPr>
        <w:spacing w:after="0" w:line="257" w:lineRule="auto"/>
        <w:jc w:val="both"/>
        <w:rPr>
          <w:color w:val="000000" w:themeColor="text1"/>
        </w:rPr>
      </w:pPr>
      <w:r w:rsidRPr="00993C92">
        <w:rPr>
          <w:color w:val="000000" w:themeColor="text1"/>
        </w:rPr>
        <w:t>To further validate these observations, we performed peptide ELISAs</w:t>
      </w:r>
      <w:r w:rsidR="00BD7D48" w:rsidRPr="00993C92">
        <w:rPr>
          <w:color w:val="000000" w:themeColor="text1"/>
        </w:rPr>
        <w:t xml:space="preserve"> with food </w:t>
      </w:r>
      <w:r w:rsidR="002E375D" w:rsidRPr="00993C92">
        <w:rPr>
          <w:color w:val="000000" w:themeColor="text1"/>
        </w:rPr>
        <w:t>antigens</w:t>
      </w:r>
      <w:r w:rsidR="00BD7D48" w:rsidRPr="00993C92">
        <w:rPr>
          <w:color w:val="000000" w:themeColor="text1"/>
        </w:rPr>
        <w:t xml:space="preserve"> against which we had detected Ig binding in PhIP-Seq</w:t>
      </w:r>
      <w:r w:rsidR="005A316D" w:rsidRPr="00993C92">
        <w:rPr>
          <w:color w:val="000000" w:themeColor="text1"/>
        </w:rPr>
        <w:t xml:space="preserve"> (</w:t>
      </w:r>
      <w:r w:rsidR="00121555" w:rsidRPr="00993C92">
        <w:rPr>
          <w:color w:val="000000" w:themeColor="text1"/>
        </w:rPr>
        <w:t xml:space="preserve">Figure S </w:t>
      </w:r>
      <w:r w:rsidR="00121555" w:rsidRPr="00993C92">
        <w:rPr>
          <w:noProof/>
          <w:color w:val="000000" w:themeColor="text1"/>
        </w:rPr>
        <w:t>5</w:t>
      </w:r>
      <w:r w:rsidR="005A316D" w:rsidRPr="00993C92">
        <w:rPr>
          <w:color w:val="000000" w:themeColor="text1"/>
        </w:rPr>
        <w:t>)</w:t>
      </w:r>
      <w:r w:rsidR="00BD7D48" w:rsidRPr="00993C92">
        <w:rPr>
          <w:color w:val="000000" w:themeColor="text1"/>
        </w:rPr>
        <w:t>. For most selected peptides of animal and plant origin the IgG ELISA and PhIP-Seq data were in good agreement (</w:t>
      </w:r>
      <w:r w:rsidR="00121555" w:rsidRPr="00993C92">
        <w:rPr>
          <w:color w:val="000000" w:themeColor="text1"/>
        </w:rPr>
        <w:t xml:space="preserve">Figure S </w:t>
      </w:r>
      <w:r w:rsidR="00121555" w:rsidRPr="00993C92">
        <w:rPr>
          <w:noProof/>
          <w:color w:val="000000" w:themeColor="text1"/>
        </w:rPr>
        <w:t>5</w:t>
      </w:r>
      <w:r w:rsidR="00BD7D48" w:rsidRPr="00993C92">
        <w:rPr>
          <w:color w:val="000000" w:themeColor="text1"/>
        </w:rPr>
        <w:t>a-l). Peptides of egg ovomucoid proteins appeared to contain multiple epitopes, covered by the PhIP-Seq assay but not</w:t>
      </w:r>
      <w:r w:rsidR="002E375D" w:rsidRPr="00993C92">
        <w:rPr>
          <w:color w:val="000000" w:themeColor="text1"/>
        </w:rPr>
        <w:t xml:space="preserve"> within</w:t>
      </w:r>
      <w:r w:rsidR="00BD7D48" w:rsidRPr="00993C92">
        <w:rPr>
          <w:color w:val="000000" w:themeColor="text1"/>
        </w:rPr>
        <w:t xml:space="preserve"> the shorter peptides used in the ELISA </w:t>
      </w:r>
      <w:r w:rsidR="005A316D" w:rsidRPr="00993C92">
        <w:rPr>
          <w:color w:val="000000" w:themeColor="text1"/>
        </w:rPr>
        <w:t>(</w:t>
      </w:r>
      <w:r w:rsidR="00BD7D48" w:rsidRPr="00993C92">
        <w:rPr>
          <w:color w:val="000000" w:themeColor="text1"/>
        </w:rPr>
        <w:t xml:space="preserve">see </w:t>
      </w:r>
      <w:r w:rsidR="00121555" w:rsidRPr="00993C92">
        <w:rPr>
          <w:color w:val="000000" w:themeColor="text1"/>
        </w:rPr>
        <w:t xml:space="preserve">Figure S </w:t>
      </w:r>
      <w:r w:rsidR="00121555" w:rsidRPr="00993C92">
        <w:rPr>
          <w:noProof/>
          <w:color w:val="000000" w:themeColor="text1"/>
        </w:rPr>
        <w:t>5</w:t>
      </w:r>
      <w:r w:rsidR="002E375D" w:rsidRPr="00993C92">
        <w:rPr>
          <w:color w:val="000000" w:themeColor="text1"/>
        </w:rPr>
        <w:t>f,g</w:t>
      </w:r>
      <w:r w:rsidR="00BD7D48" w:rsidRPr="00993C92">
        <w:rPr>
          <w:color w:val="000000" w:themeColor="text1"/>
        </w:rPr>
        <w:t>)</w:t>
      </w:r>
      <w:r w:rsidRPr="00993C92">
        <w:rPr>
          <w:color w:val="000000" w:themeColor="text1"/>
        </w:rPr>
        <w:t>.</w:t>
      </w:r>
      <w:r w:rsidR="00BD7D48" w:rsidRPr="00993C92">
        <w:rPr>
          <w:color w:val="000000" w:themeColor="text1"/>
        </w:rPr>
        <w:t xml:space="preserve"> By comparing ELISA binding against </w:t>
      </w:r>
      <w:r w:rsidR="00EF4E77" w:rsidRPr="00993C92">
        <w:rPr>
          <w:color w:val="000000" w:themeColor="text1"/>
        </w:rPr>
        <w:t xml:space="preserve">peptides with slightly varying sequences (although similar consensus motifs, </w:t>
      </w:r>
      <w:r w:rsidR="00C478F8" w:rsidRPr="00993C92">
        <w:rPr>
          <w:color w:val="000000" w:themeColor="text1"/>
          <w:u w:val="single"/>
        </w:rPr>
        <w:t xml:space="preserve">Fig. </w:t>
      </w:r>
      <w:r w:rsidR="00C478F8" w:rsidRPr="00993C92">
        <w:rPr>
          <w:noProof/>
          <w:color w:val="000000" w:themeColor="text1"/>
          <w:u w:val="single"/>
        </w:rPr>
        <w:t>2</w:t>
      </w:r>
      <w:r w:rsidR="00EF4E77" w:rsidRPr="00993C92">
        <w:rPr>
          <w:color w:val="000000" w:themeColor="text1"/>
        </w:rPr>
        <w:t>c-i) confirmed cross-reactivity suggested by the PhIP-Seq data (</w:t>
      </w:r>
      <w:r w:rsidR="00121555" w:rsidRPr="00993C92">
        <w:rPr>
          <w:color w:val="000000" w:themeColor="text1"/>
        </w:rPr>
        <w:t xml:space="preserve">Figure S </w:t>
      </w:r>
      <w:r w:rsidR="00121555" w:rsidRPr="00993C92">
        <w:rPr>
          <w:noProof/>
          <w:color w:val="000000" w:themeColor="text1"/>
        </w:rPr>
        <w:t>5</w:t>
      </w:r>
      <w:r w:rsidR="00EF4E77" w:rsidRPr="00993C92">
        <w:rPr>
          <w:color w:val="000000" w:themeColor="text1"/>
        </w:rPr>
        <w:t>m-q vs. r-v). Binding against the same peptides was also tested with an IgE secondary antibody, yielding weaker signals and no clear correlations (</w:t>
      </w:r>
      <w:r w:rsidR="00121555" w:rsidRPr="00993C92">
        <w:rPr>
          <w:color w:val="000000" w:themeColor="text1"/>
        </w:rPr>
        <w:t xml:space="preserve">Figure S </w:t>
      </w:r>
      <w:r w:rsidR="00121555" w:rsidRPr="00993C92">
        <w:rPr>
          <w:noProof/>
          <w:color w:val="000000" w:themeColor="text1"/>
        </w:rPr>
        <w:t>5</w:t>
      </w:r>
      <w:r w:rsidR="002E375D" w:rsidRPr="00993C92">
        <w:rPr>
          <w:color w:val="000000" w:themeColor="text1"/>
        </w:rPr>
        <w:t>w,x</w:t>
      </w:r>
      <w:r w:rsidR="00EF4E77" w:rsidRPr="00993C92">
        <w:rPr>
          <w:color w:val="000000" w:themeColor="text1"/>
        </w:rPr>
        <w:t>)</w:t>
      </w:r>
      <w:r w:rsidR="002E375D" w:rsidRPr="00993C92">
        <w:rPr>
          <w:color w:val="000000" w:themeColor="text1"/>
        </w:rPr>
        <w:t xml:space="preserve"> suggesting that allergic responses do not play a major role in the binding of these peptides.</w:t>
      </w:r>
    </w:p>
    <w:p w14:paraId="6490968A" w14:textId="229FD2D4" w:rsidR="00B65B63" w:rsidRPr="00993C92" w:rsidRDefault="00D844CB" w:rsidP="00D808AB">
      <w:pPr>
        <w:spacing w:after="120"/>
        <w:jc w:val="both"/>
        <w:rPr>
          <w:color w:val="000000" w:themeColor="text1"/>
        </w:rPr>
      </w:pPr>
      <w:r w:rsidRPr="00993C92">
        <w:rPr>
          <w:color w:val="000000" w:themeColor="text1"/>
        </w:rPr>
        <w:t xml:space="preserve">Taken together, these results </w:t>
      </w:r>
      <w:r w:rsidR="005F4FC8" w:rsidRPr="00993C92">
        <w:rPr>
          <w:color w:val="000000" w:themeColor="text1"/>
        </w:rPr>
        <w:t>demonstrate</w:t>
      </w:r>
      <w:r w:rsidR="009A17A8" w:rsidRPr="00993C92">
        <w:rPr>
          <w:color w:val="000000" w:themeColor="text1"/>
        </w:rPr>
        <w:t>d</w:t>
      </w:r>
      <w:r w:rsidRPr="00993C92">
        <w:rPr>
          <w:color w:val="000000" w:themeColor="text1"/>
        </w:rPr>
        <w:t xml:space="preserve"> that the vast majority of the observed binding events against food proteins (as well as pathogens from the IED</w:t>
      </w:r>
      <w:r w:rsidR="00AC5127" w:rsidRPr="00993C92">
        <w:rPr>
          <w:color w:val="000000" w:themeColor="text1"/>
        </w:rPr>
        <w:t>B</w:t>
      </w:r>
      <w:r w:rsidRPr="00993C92">
        <w:rPr>
          <w:color w:val="000000" w:themeColor="text1"/>
        </w:rPr>
        <w:t xml:space="preserve">) </w:t>
      </w:r>
      <w:r w:rsidR="009A17A8" w:rsidRPr="00993C92">
        <w:rPr>
          <w:color w:val="000000" w:themeColor="text1"/>
        </w:rPr>
        <w:t xml:space="preserve">were </w:t>
      </w:r>
      <w:r w:rsidRPr="00993C92">
        <w:rPr>
          <w:color w:val="000000" w:themeColor="text1"/>
        </w:rPr>
        <w:t>driven by IgG responses in our experimental setting</w:t>
      </w:r>
      <w:r w:rsidR="005F4FC8" w:rsidRPr="00993C92">
        <w:rPr>
          <w:color w:val="000000" w:themeColor="text1"/>
        </w:rPr>
        <w:t xml:space="preserve"> (although, in general also </w:t>
      </w:r>
      <w:r w:rsidRPr="00993C92">
        <w:rPr>
          <w:color w:val="000000" w:themeColor="text1"/>
        </w:rPr>
        <w:t>IgA</w:t>
      </w:r>
      <w:r w:rsidR="00D808AB" w:rsidRPr="00993C92">
        <w:rPr>
          <w:color w:val="000000" w:themeColor="text1"/>
        </w:rPr>
        <w:t xml:space="preserve"> </w:t>
      </w:r>
      <w:r w:rsidR="00B65B63" w:rsidRPr="00993C92">
        <w:rPr>
          <w:color w:val="000000" w:themeColor="text1"/>
        </w:rPr>
        <w:t xml:space="preserve">or IgE, </w:t>
      </w:r>
      <w:r w:rsidRPr="00993C92">
        <w:rPr>
          <w:color w:val="000000" w:themeColor="text1"/>
        </w:rPr>
        <w:t>as well as other antibody classes</w:t>
      </w:r>
      <w:r w:rsidR="00D808AB" w:rsidRPr="00993C92">
        <w:rPr>
          <w:color w:val="000000" w:themeColor="text1"/>
        </w:rPr>
        <w:t xml:space="preserve"> </w:t>
      </w:r>
      <w:r w:rsidRPr="00993C92">
        <w:rPr>
          <w:color w:val="000000" w:themeColor="text1"/>
        </w:rPr>
        <w:t xml:space="preserve">could be detected with </w:t>
      </w:r>
      <w:r w:rsidR="00883ED2" w:rsidRPr="00993C92">
        <w:rPr>
          <w:color w:val="000000" w:themeColor="text1"/>
        </w:rPr>
        <w:t>modified</w:t>
      </w:r>
      <w:r w:rsidR="00E87D73" w:rsidRPr="00993C92">
        <w:rPr>
          <w:color w:val="000000" w:themeColor="text1"/>
        </w:rPr>
        <w:t xml:space="preserve"> experimental </w:t>
      </w:r>
      <w:r w:rsidR="00664FEF" w:rsidRPr="00993C92">
        <w:rPr>
          <w:color w:val="000000" w:themeColor="text1"/>
        </w:rPr>
        <w:t xml:space="preserve">PhIP-Seq </w:t>
      </w:r>
      <w:r w:rsidR="00E87D73" w:rsidRPr="00993C92">
        <w:rPr>
          <w:color w:val="000000" w:themeColor="text1"/>
        </w:rPr>
        <w:t>workflows,</w:t>
      </w:r>
      <w:r w:rsidRPr="00993C92">
        <w:rPr>
          <w:color w:val="000000" w:themeColor="text1"/>
        </w:rPr>
        <w:t xml:space="preserve"> if desired</w:t>
      </w:r>
      <w:r w:rsidR="00E87D73" w:rsidRPr="00993C92">
        <w:rPr>
          <w:color w:val="000000" w:themeColor="text1"/>
        </w:rPr>
        <w:t>)</w:t>
      </w:r>
      <w:r w:rsidRPr="00993C92">
        <w:rPr>
          <w:color w:val="000000" w:themeColor="text1"/>
        </w:rPr>
        <w:t>.</w:t>
      </w:r>
    </w:p>
    <w:p w14:paraId="14FF1770" w14:textId="023A9C47" w:rsidR="001C29BB" w:rsidRPr="00993C92" w:rsidRDefault="001C29BB" w:rsidP="00D808AB">
      <w:pPr>
        <w:pStyle w:val="Heading2"/>
        <w:spacing w:before="0" w:after="120"/>
        <w:rPr>
          <w:color w:val="000000" w:themeColor="text1"/>
        </w:rPr>
      </w:pPr>
      <w:r w:rsidRPr="00993C92">
        <w:rPr>
          <w:color w:val="000000" w:themeColor="text1"/>
        </w:rPr>
        <w:t>Ig-epitope repertoires</w:t>
      </w:r>
      <w:r w:rsidR="00E35E18" w:rsidRPr="00993C92">
        <w:rPr>
          <w:color w:val="000000" w:themeColor="text1"/>
        </w:rPr>
        <w:t xml:space="preserve"> against food proteins</w:t>
      </w:r>
      <w:r w:rsidR="00732384" w:rsidRPr="00993C92">
        <w:rPr>
          <w:color w:val="000000" w:themeColor="text1"/>
        </w:rPr>
        <w:t xml:space="preserve"> show high longitudinal stability</w:t>
      </w:r>
    </w:p>
    <w:p w14:paraId="25AE591E" w14:textId="618EC17A" w:rsidR="001C29BB" w:rsidRPr="00993C92" w:rsidRDefault="00E35E18" w:rsidP="001153E9">
      <w:pPr>
        <w:spacing w:after="0" w:line="257" w:lineRule="auto"/>
        <w:jc w:val="both"/>
        <w:rPr>
          <w:color w:val="000000" w:themeColor="text1"/>
        </w:rPr>
      </w:pPr>
      <w:r w:rsidRPr="00993C92">
        <w:rPr>
          <w:color w:val="000000" w:themeColor="text1"/>
        </w:rPr>
        <w:t xml:space="preserve">Immunological memory is a hallmark of adaptive immune response: </w:t>
      </w:r>
      <w:r w:rsidR="005E695F" w:rsidRPr="00993C92">
        <w:rPr>
          <w:color w:val="000000" w:themeColor="text1"/>
        </w:rPr>
        <w:t xml:space="preserve">Infections or vaccinations frequently result in antibody responses detectable for decades and </w:t>
      </w:r>
      <w:r w:rsidR="001153E9" w:rsidRPr="00993C92">
        <w:rPr>
          <w:color w:val="000000" w:themeColor="text1"/>
        </w:rPr>
        <w:t xml:space="preserve">thereby </w:t>
      </w:r>
      <w:r w:rsidR="005E695F" w:rsidRPr="00993C92">
        <w:rPr>
          <w:color w:val="000000" w:themeColor="text1"/>
        </w:rPr>
        <w:t>protect f</w:t>
      </w:r>
      <w:r w:rsidR="00550C25" w:rsidRPr="00993C92">
        <w:rPr>
          <w:color w:val="000000" w:themeColor="text1"/>
        </w:rPr>
        <w:t>r</w:t>
      </w:r>
      <w:r w:rsidR="005E695F" w:rsidRPr="00993C92">
        <w:rPr>
          <w:color w:val="000000" w:themeColor="text1"/>
        </w:rPr>
        <w:t>om reinfection.</w:t>
      </w:r>
      <w:r w:rsidR="001153E9" w:rsidRPr="00993C92">
        <w:rPr>
          <w:color w:val="000000" w:themeColor="text1"/>
        </w:rPr>
        <w:t xml:space="preserve"> Such longitudinal antibody responses have mostly been studied in the context of pathogens</w:t>
      </w:r>
      <w:r w:rsidR="000070F1" w:rsidRPr="00993C92">
        <w:rPr>
          <w:color w:val="000000" w:themeColor="text1"/>
        </w:rPr>
        <w:t xml:space="preserve">, and we </w:t>
      </w:r>
      <w:r w:rsidR="000070F1" w:rsidRPr="00993C92">
        <w:rPr>
          <w:color w:val="000000" w:themeColor="text1"/>
        </w:rPr>
        <w:lastRenderedPageBreak/>
        <w:t xml:space="preserve">have previously shown that commensal microbiota can elicit durable Ig responses </w:t>
      </w:r>
      <w:r w:rsidR="00282B43" w:rsidRPr="00993C92">
        <w:rPr>
          <w:noProof/>
          <w:color w:val="000000" w:themeColor="text1"/>
        </w:rPr>
        <w:t>(Vogl et al., 2021)</w:t>
      </w:r>
      <w:r w:rsidR="001153E9" w:rsidRPr="00993C92">
        <w:rPr>
          <w:color w:val="000000" w:themeColor="text1"/>
        </w:rPr>
        <w:t xml:space="preserve">. Here, we were interested </w:t>
      </w:r>
      <w:r w:rsidR="009D33F5" w:rsidRPr="00993C92">
        <w:rPr>
          <w:color w:val="000000" w:themeColor="text1"/>
        </w:rPr>
        <w:t xml:space="preserve">to know </w:t>
      </w:r>
      <w:r w:rsidR="001153E9" w:rsidRPr="00993C92">
        <w:rPr>
          <w:color w:val="000000" w:themeColor="text1"/>
        </w:rPr>
        <w:t xml:space="preserve">whether Ig responses against food would </w:t>
      </w:r>
      <w:r w:rsidR="009D33F5" w:rsidRPr="00993C92">
        <w:rPr>
          <w:color w:val="000000" w:themeColor="text1"/>
        </w:rPr>
        <w:t xml:space="preserve">also </w:t>
      </w:r>
      <w:r w:rsidR="001153E9" w:rsidRPr="00993C92">
        <w:rPr>
          <w:color w:val="000000" w:themeColor="text1"/>
        </w:rPr>
        <w:t>elicit long-term antibody responses and how their stability would compare to pathogens.</w:t>
      </w:r>
    </w:p>
    <w:p w14:paraId="1F6C58DA" w14:textId="064080E0" w:rsidR="001153E9" w:rsidRPr="00993C92" w:rsidRDefault="009D33F5" w:rsidP="0024060D">
      <w:pPr>
        <w:spacing w:after="0" w:line="257" w:lineRule="auto"/>
        <w:jc w:val="both"/>
        <w:rPr>
          <w:color w:val="000000" w:themeColor="text1"/>
        </w:rPr>
      </w:pPr>
      <w:r w:rsidRPr="00993C92">
        <w:rPr>
          <w:color w:val="000000" w:themeColor="text1"/>
        </w:rPr>
        <w:t>We</w:t>
      </w:r>
      <w:r w:rsidR="001153E9" w:rsidRPr="00993C92">
        <w:rPr>
          <w:color w:val="000000" w:themeColor="text1"/>
        </w:rPr>
        <w:t xml:space="preserve"> used a </w:t>
      </w:r>
      <w:r w:rsidRPr="00993C92">
        <w:rPr>
          <w:color w:val="000000" w:themeColor="text1"/>
        </w:rPr>
        <w:t>sub</w:t>
      </w:r>
      <w:r w:rsidR="001153E9" w:rsidRPr="00993C92">
        <w:rPr>
          <w:color w:val="000000" w:themeColor="text1"/>
        </w:rPr>
        <w:t xml:space="preserve">set </w:t>
      </w:r>
      <w:r w:rsidR="002952DA" w:rsidRPr="00993C92">
        <w:rPr>
          <w:color w:val="000000" w:themeColor="text1"/>
        </w:rPr>
        <w:t>21</w:t>
      </w:r>
      <w:r w:rsidR="00F70BCE" w:rsidRPr="00993C92">
        <w:rPr>
          <w:color w:val="000000" w:themeColor="text1"/>
        </w:rPr>
        <w:t>4</w:t>
      </w:r>
      <w:r w:rsidR="002952DA" w:rsidRPr="00993C92">
        <w:rPr>
          <w:color w:val="000000" w:themeColor="text1"/>
        </w:rPr>
        <w:t xml:space="preserve"> out of the 1,003 individuals from our cohort, for whom we had collected longitudinal blood samples after approximately five years </w:t>
      </w:r>
      <w:r w:rsidR="00282B43" w:rsidRPr="00993C92">
        <w:rPr>
          <w:noProof/>
          <w:color w:val="000000" w:themeColor="text1"/>
        </w:rPr>
        <w:t>(Vogl et al., 2021)</w:t>
      </w:r>
      <w:r w:rsidR="002952DA" w:rsidRPr="00993C92">
        <w:rPr>
          <w:color w:val="000000" w:themeColor="text1"/>
        </w:rPr>
        <w:t xml:space="preserve">. By comparing </w:t>
      </w:r>
      <w:r w:rsidR="00DF270D" w:rsidRPr="00993C92">
        <w:rPr>
          <w:color w:val="000000" w:themeColor="text1"/>
        </w:rPr>
        <w:t>the baseline sample of every individual with the five</w:t>
      </w:r>
      <w:r w:rsidR="00A94B30" w:rsidRPr="00993C92">
        <w:rPr>
          <w:color w:val="000000" w:themeColor="text1"/>
        </w:rPr>
        <w:t>-</w:t>
      </w:r>
      <w:r w:rsidR="00DF270D" w:rsidRPr="00993C92">
        <w:rPr>
          <w:color w:val="000000" w:themeColor="text1"/>
        </w:rPr>
        <w:t>year follow up samples of all individuals (</w:t>
      </w:r>
      <w:r w:rsidR="007F1D95" w:rsidRPr="00993C92">
        <w:rPr>
          <w:color w:val="000000" w:themeColor="text1"/>
        </w:rPr>
        <w:t xml:space="preserve">Fig. </w:t>
      </w:r>
      <w:r w:rsidR="007F1D95" w:rsidRPr="00993C92">
        <w:rPr>
          <w:noProof/>
          <w:color w:val="000000" w:themeColor="text1"/>
        </w:rPr>
        <w:t>5</w:t>
      </w:r>
      <w:r w:rsidR="00DF270D" w:rsidRPr="00993C92">
        <w:rPr>
          <w:color w:val="000000" w:themeColor="text1"/>
        </w:rPr>
        <w:t xml:space="preserve">), we observed </w:t>
      </w:r>
      <w:r w:rsidR="000344F7" w:rsidRPr="00993C92">
        <w:rPr>
          <w:color w:val="000000" w:themeColor="text1"/>
        </w:rPr>
        <w:t>a</w:t>
      </w:r>
      <w:r w:rsidR="00DF270D" w:rsidRPr="00993C92">
        <w:rPr>
          <w:color w:val="000000" w:themeColor="text1"/>
        </w:rPr>
        <w:t xml:space="preserve"> high correlation of matched samples of the same individual, but not of random pairs of individuals. We performed this analysis </w:t>
      </w:r>
      <w:r w:rsidR="007754D1" w:rsidRPr="00993C92">
        <w:rPr>
          <w:color w:val="000000" w:themeColor="text1"/>
        </w:rPr>
        <w:t>with antibody responses against the entire library (</w:t>
      </w:r>
      <w:r w:rsidR="007F1D95" w:rsidRPr="00993C92">
        <w:rPr>
          <w:color w:val="000000" w:themeColor="text1"/>
        </w:rPr>
        <w:t xml:space="preserve">Fig. </w:t>
      </w:r>
      <w:r w:rsidR="007F1D95" w:rsidRPr="00993C92">
        <w:rPr>
          <w:noProof/>
          <w:color w:val="000000" w:themeColor="text1"/>
        </w:rPr>
        <w:t>5</w:t>
      </w:r>
      <w:r w:rsidR="007754D1" w:rsidRPr="00993C92">
        <w:rPr>
          <w:color w:val="000000" w:themeColor="text1"/>
        </w:rPr>
        <w:t xml:space="preserve">a), only proteins from allergen databases (encompassing mostly antibody responses against food, </w:t>
      </w:r>
      <w:r w:rsidR="007F1D95" w:rsidRPr="00993C92">
        <w:rPr>
          <w:color w:val="000000" w:themeColor="text1"/>
        </w:rPr>
        <w:t xml:space="preserve">Fig. </w:t>
      </w:r>
      <w:r w:rsidR="007F1D95" w:rsidRPr="00993C92">
        <w:rPr>
          <w:noProof/>
          <w:color w:val="000000" w:themeColor="text1"/>
        </w:rPr>
        <w:t>5</w:t>
      </w:r>
      <w:r w:rsidR="007754D1" w:rsidRPr="00993C92">
        <w:rPr>
          <w:color w:val="000000" w:themeColor="text1"/>
        </w:rPr>
        <w:t xml:space="preserve">b), as well as </w:t>
      </w:r>
      <w:r w:rsidR="000070F1" w:rsidRPr="00993C92">
        <w:rPr>
          <w:color w:val="000000" w:themeColor="text1"/>
        </w:rPr>
        <w:t>proteins from the IEDB (</w:t>
      </w:r>
      <w:r w:rsidR="007F1D95" w:rsidRPr="00993C92">
        <w:rPr>
          <w:color w:val="000000" w:themeColor="text1"/>
        </w:rPr>
        <w:t xml:space="preserve">Fig. </w:t>
      </w:r>
      <w:r w:rsidR="007F1D95" w:rsidRPr="00993C92">
        <w:rPr>
          <w:noProof/>
          <w:color w:val="000000" w:themeColor="text1"/>
        </w:rPr>
        <w:t>5</w:t>
      </w:r>
      <w:r w:rsidR="000070F1" w:rsidRPr="00993C92">
        <w:rPr>
          <w:color w:val="000000" w:themeColor="text1"/>
        </w:rPr>
        <w:t>c). Comparing the correlation coefficients of matched and unmatched samples (</w:t>
      </w:r>
      <w:r w:rsidR="007F1D95" w:rsidRPr="00993C92">
        <w:rPr>
          <w:color w:val="000000" w:themeColor="text1"/>
        </w:rPr>
        <w:t xml:space="preserve">Fig. </w:t>
      </w:r>
      <w:r w:rsidR="007F1D95" w:rsidRPr="00993C92">
        <w:rPr>
          <w:noProof/>
          <w:color w:val="000000" w:themeColor="text1"/>
        </w:rPr>
        <w:t>5</w:t>
      </w:r>
      <w:r w:rsidR="000070F1" w:rsidRPr="00993C92">
        <w:rPr>
          <w:color w:val="000000" w:themeColor="text1"/>
        </w:rPr>
        <w:t>d</w:t>
      </w:r>
      <w:r w:rsidR="00257500" w:rsidRPr="00993C92">
        <w:rPr>
          <w:color w:val="000000" w:themeColor="text1"/>
        </w:rPr>
        <w:t xml:space="preserve">, </w:t>
      </w:r>
      <w:r w:rsidR="00422FAF" w:rsidRPr="00993C92">
        <w:rPr>
          <w:color w:val="000000" w:themeColor="text1"/>
        </w:rPr>
        <w:t xml:space="preserve">Figure S </w:t>
      </w:r>
      <w:r w:rsidR="00422FAF" w:rsidRPr="00993C92">
        <w:rPr>
          <w:noProof/>
          <w:color w:val="000000" w:themeColor="text1"/>
        </w:rPr>
        <w:t>6</w:t>
      </w:r>
      <w:r w:rsidR="00422FAF" w:rsidRPr="00993C92">
        <w:rPr>
          <w:color w:val="000000" w:themeColor="text1"/>
        </w:rPr>
        <w:t>a,b</w:t>
      </w:r>
      <w:r w:rsidR="000070F1" w:rsidRPr="00993C92">
        <w:rPr>
          <w:color w:val="000000" w:themeColor="text1"/>
        </w:rPr>
        <w:t>)</w:t>
      </w:r>
      <w:r w:rsidR="00A30FAA" w:rsidRPr="00993C92">
        <w:rPr>
          <w:color w:val="000000" w:themeColor="text1"/>
        </w:rPr>
        <w:t xml:space="preserve"> suggested a higher discriminatory power between individuals of antibodies against proteins from allergen databases than against proteins from the IEDB. Sample pairs of the same individual correlated with R=0.</w:t>
      </w:r>
      <w:r w:rsidRPr="00993C92">
        <w:rPr>
          <w:color w:val="000000" w:themeColor="text1"/>
        </w:rPr>
        <w:t>72</w:t>
      </w:r>
      <w:r w:rsidR="00A30FAA" w:rsidRPr="00993C92">
        <w:rPr>
          <w:color w:val="000000" w:themeColor="text1"/>
        </w:rPr>
        <w:t xml:space="preserve"> (</w:t>
      </w:r>
      <w:r w:rsidRPr="00993C92">
        <w:rPr>
          <w:color w:val="000000" w:themeColor="text1"/>
        </w:rPr>
        <w:t xml:space="preserve">mean </w:t>
      </w:r>
      <w:r w:rsidR="00A30FAA" w:rsidRPr="00993C92">
        <w:rPr>
          <w:color w:val="000000" w:themeColor="text1"/>
        </w:rPr>
        <w:t xml:space="preserve">Spearman correlation of </w:t>
      </w:r>
      <w:r w:rsidR="00E1411B" w:rsidRPr="00993C92">
        <w:rPr>
          <w:color w:val="000000" w:themeColor="text1"/>
        </w:rPr>
        <w:t xml:space="preserve">log </w:t>
      </w:r>
      <w:r w:rsidR="00A30FAA" w:rsidRPr="00993C92">
        <w:rPr>
          <w:color w:val="000000" w:themeColor="text1"/>
        </w:rPr>
        <w:t>fold change) for proteins from allergen databases, while antigens from the IEDB correlated with R=0.</w:t>
      </w:r>
      <w:r w:rsidRPr="00993C92">
        <w:rPr>
          <w:color w:val="000000" w:themeColor="text1"/>
        </w:rPr>
        <w:t>80</w:t>
      </w:r>
      <w:r w:rsidR="00A30FAA" w:rsidRPr="00993C92">
        <w:rPr>
          <w:color w:val="000000" w:themeColor="text1"/>
        </w:rPr>
        <w:t>. However, the correlation between unmatched samples was</w:t>
      </w:r>
      <w:r w:rsidRPr="00993C92">
        <w:rPr>
          <w:color w:val="000000" w:themeColor="text1"/>
        </w:rPr>
        <w:t xml:space="preserve"> much</w:t>
      </w:r>
      <w:r w:rsidR="00A30FAA" w:rsidRPr="00993C92">
        <w:rPr>
          <w:color w:val="000000" w:themeColor="text1"/>
        </w:rPr>
        <w:t xml:space="preserve"> </w:t>
      </w:r>
      <w:r w:rsidR="00916E79" w:rsidRPr="00993C92">
        <w:rPr>
          <w:color w:val="000000" w:themeColor="text1"/>
        </w:rPr>
        <w:t>higher for IED</w:t>
      </w:r>
      <w:r w:rsidR="00AC5127" w:rsidRPr="00993C92">
        <w:rPr>
          <w:color w:val="000000" w:themeColor="text1"/>
        </w:rPr>
        <w:t>B</w:t>
      </w:r>
      <w:r w:rsidR="00916E79" w:rsidRPr="00993C92">
        <w:rPr>
          <w:color w:val="000000" w:themeColor="text1"/>
        </w:rPr>
        <w:t xml:space="preserve"> samples (R=0.</w:t>
      </w:r>
      <w:r w:rsidRPr="00993C92">
        <w:rPr>
          <w:color w:val="000000" w:themeColor="text1"/>
        </w:rPr>
        <w:t>33</w:t>
      </w:r>
      <w:r w:rsidR="00916E79" w:rsidRPr="00993C92">
        <w:rPr>
          <w:color w:val="000000" w:themeColor="text1"/>
        </w:rPr>
        <w:t>) than for samples from allergen databases</w:t>
      </w:r>
      <w:r w:rsidR="002318D3" w:rsidRPr="00993C92">
        <w:rPr>
          <w:color w:val="000000" w:themeColor="text1"/>
        </w:rPr>
        <w:t xml:space="preserve"> (R=0.08)</w:t>
      </w:r>
      <w:r w:rsidR="00916E79" w:rsidRPr="00993C92">
        <w:rPr>
          <w:color w:val="000000" w:themeColor="text1"/>
        </w:rPr>
        <w:t>.</w:t>
      </w:r>
      <w:r w:rsidR="002318D3" w:rsidRPr="00993C92">
        <w:rPr>
          <w:color w:val="000000" w:themeColor="text1"/>
        </w:rPr>
        <w:t xml:space="preserve"> </w:t>
      </w:r>
      <w:r w:rsidR="00325A37" w:rsidRPr="00993C92">
        <w:rPr>
          <w:color w:val="000000" w:themeColor="text1"/>
        </w:rPr>
        <w:t>Therefore,</w:t>
      </w:r>
      <w:r w:rsidR="002318D3" w:rsidRPr="00993C92">
        <w:rPr>
          <w:color w:val="000000" w:themeColor="text1"/>
        </w:rPr>
        <w:t xml:space="preserve"> the difference between the correlation of a sample with the same individual's sample five years apart and of a different individual's sample was more significant for antibody responses against proteins from allergen databases than for IEDB antigens (Mann Whitney score p-value &lt; 10</w:t>
      </w:r>
      <w:r w:rsidR="002318D3" w:rsidRPr="00993C92">
        <w:rPr>
          <w:color w:val="000000" w:themeColor="text1"/>
          <w:vertAlign w:val="superscript"/>
        </w:rPr>
        <w:t>-4</w:t>
      </w:r>
      <w:r w:rsidR="00F45F3D" w:rsidRPr="00993C92">
        <w:rPr>
          <w:color w:val="000000" w:themeColor="text1"/>
          <w:vertAlign w:val="superscript"/>
        </w:rPr>
        <w:t>6</w:t>
      </w:r>
      <w:r w:rsidR="002318D3" w:rsidRPr="00993C92">
        <w:rPr>
          <w:color w:val="000000" w:themeColor="text1"/>
        </w:rPr>
        <w:t>).</w:t>
      </w:r>
      <w:r w:rsidR="00916E79" w:rsidRPr="00993C92">
        <w:rPr>
          <w:color w:val="000000" w:themeColor="text1"/>
        </w:rPr>
        <w:t xml:space="preserve"> As the IEDB encompasses antibody binding against many antigens of infectious diseases (</w:t>
      </w:r>
      <w:r w:rsidR="000139E9" w:rsidRPr="00993C92">
        <w:rPr>
          <w:color w:val="000000" w:themeColor="text1"/>
          <w:u w:val="single"/>
        </w:rPr>
        <w:t xml:space="preserve">Fig. </w:t>
      </w:r>
      <w:r w:rsidR="000139E9" w:rsidRPr="00993C92">
        <w:rPr>
          <w:noProof/>
          <w:color w:val="000000" w:themeColor="text1"/>
          <w:u w:val="single"/>
        </w:rPr>
        <w:t>1</w:t>
      </w:r>
      <w:r w:rsidR="00916E79" w:rsidRPr="00993C92">
        <w:rPr>
          <w:color w:val="000000" w:themeColor="text1"/>
        </w:rPr>
        <w:t xml:space="preserve">f), this higher convergence is likely due to shared antibody responses against pathogens (as previously observed when comparing the stability of pathogens and commensal microbiota </w:t>
      </w:r>
      <w:r w:rsidR="00282B43" w:rsidRPr="00993C92">
        <w:rPr>
          <w:noProof/>
          <w:color w:val="000000" w:themeColor="text1"/>
        </w:rPr>
        <w:t>(Vogl et al., 2021)</w:t>
      </w:r>
      <w:r w:rsidR="00916E79" w:rsidRPr="00993C92">
        <w:rPr>
          <w:color w:val="000000" w:themeColor="text1"/>
        </w:rPr>
        <w:t>).</w:t>
      </w:r>
    </w:p>
    <w:p w14:paraId="3C9490CA" w14:textId="7DB79C2D" w:rsidR="00E1411B" w:rsidRPr="00993C92" w:rsidRDefault="00E1411B" w:rsidP="00E1411B">
      <w:pPr>
        <w:spacing w:after="120" w:line="257" w:lineRule="auto"/>
        <w:jc w:val="both"/>
        <w:rPr>
          <w:color w:val="000000" w:themeColor="text1"/>
        </w:rPr>
      </w:pPr>
      <w:r w:rsidRPr="00993C92">
        <w:rPr>
          <w:color w:val="000000" w:themeColor="text1"/>
        </w:rPr>
        <w:t>We also performed an analysis to understand if changes in Ig binding over five years are over- or underrepresented in any specific groups of antigens (</w:t>
      </w:r>
      <w:r w:rsidR="007F1D95" w:rsidRPr="00993C92">
        <w:rPr>
          <w:color w:val="000000" w:themeColor="text1"/>
        </w:rPr>
        <w:t xml:space="preserve">Fig. </w:t>
      </w:r>
      <w:r w:rsidR="007F1D95" w:rsidRPr="00993C92">
        <w:rPr>
          <w:noProof/>
          <w:color w:val="000000" w:themeColor="text1"/>
        </w:rPr>
        <w:t>5</w:t>
      </w:r>
      <w:r w:rsidRPr="00993C92">
        <w:rPr>
          <w:color w:val="000000" w:themeColor="text1"/>
        </w:rPr>
        <w:t>e). The category of infectious diseases was overrepresented in the group of less stable antibody responses, suggesting that there is generally both a higher convergence to infectious disease (</w:t>
      </w:r>
      <w:r w:rsidR="007F1D95" w:rsidRPr="00993C92">
        <w:rPr>
          <w:color w:val="000000" w:themeColor="text1"/>
        </w:rPr>
        <w:t xml:space="preserve">Fig. </w:t>
      </w:r>
      <w:r w:rsidR="007F1D95" w:rsidRPr="00993C92">
        <w:rPr>
          <w:noProof/>
          <w:color w:val="000000" w:themeColor="text1"/>
        </w:rPr>
        <w:t>5</w:t>
      </w:r>
      <w:r w:rsidRPr="00993C92">
        <w:rPr>
          <w:color w:val="000000" w:themeColor="text1"/>
        </w:rPr>
        <w:t>d</w:t>
      </w:r>
      <w:r w:rsidR="009478CB" w:rsidRPr="00993C92">
        <w:rPr>
          <w:color w:val="000000" w:themeColor="text1"/>
        </w:rPr>
        <w:t xml:space="preserve">, </w:t>
      </w:r>
      <w:r w:rsidR="00422FAF" w:rsidRPr="00993C92">
        <w:rPr>
          <w:color w:val="000000" w:themeColor="text1"/>
        </w:rPr>
        <w:t xml:space="preserve">Figure S </w:t>
      </w:r>
      <w:r w:rsidR="00422FAF" w:rsidRPr="00993C92">
        <w:rPr>
          <w:noProof/>
          <w:color w:val="000000" w:themeColor="text1"/>
        </w:rPr>
        <w:t>6</w:t>
      </w:r>
      <w:r w:rsidR="00422FAF" w:rsidRPr="00993C92">
        <w:rPr>
          <w:color w:val="000000" w:themeColor="text1"/>
        </w:rPr>
        <w:t>a,b</w:t>
      </w:r>
      <w:r w:rsidRPr="00993C92">
        <w:rPr>
          <w:color w:val="000000" w:themeColor="text1"/>
        </w:rPr>
        <w:t xml:space="preserve">), as well as a greater fluctuation </w:t>
      </w:r>
      <w:r w:rsidR="00ED79C4" w:rsidRPr="00993C92">
        <w:rPr>
          <w:color w:val="000000" w:themeColor="text1"/>
        </w:rPr>
        <w:t xml:space="preserve">over time </w:t>
      </w:r>
      <w:r w:rsidRPr="00993C92">
        <w:rPr>
          <w:color w:val="000000" w:themeColor="text1"/>
        </w:rPr>
        <w:t>(</w:t>
      </w:r>
      <w:r w:rsidR="007F1D95" w:rsidRPr="00993C92">
        <w:rPr>
          <w:color w:val="000000" w:themeColor="text1"/>
        </w:rPr>
        <w:t xml:space="preserve">Fig. </w:t>
      </w:r>
      <w:r w:rsidR="007F1D95" w:rsidRPr="00993C92">
        <w:rPr>
          <w:noProof/>
          <w:color w:val="000000" w:themeColor="text1"/>
        </w:rPr>
        <w:t>5</w:t>
      </w:r>
      <w:r w:rsidRPr="00993C92">
        <w:rPr>
          <w:color w:val="000000" w:themeColor="text1"/>
        </w:rPr>
        <w:t>e), than against proteins from allergy databases.</w:t>
      </w:r>
    </w:p>
    <w:p w14:paraId="429FC1F8" w14:textId="7733B88C" w:rsidR="00AA62F5" w:rsidRPr="00993C92" w:rsidRDefault="00E674E8" w:rsidP="00E30F07">
      <w:pPr>
        <w:pStyle w:val="Heading2"/>
        <w:spacing w:before="0" w:after="120"/>
        <w:jc w:val="both"/>
        <w:rPr>
          <w:color w:val="000000" w:themeColor="text1"/>
        </w:rPr>
      </w:pPr>
      <w:r w:rsidRPr="00993C92">
        <w:rPr>
          <w:color w:val="000000" w:themeColor="text1"/>
        </w:rPr>
        <w:t>Ig responses against food associate with and predict age, gender, and dietary intake</w:t>
      </w:r>
    </w:p>
    <w:p w14:paraId="55C751C8" w14:textId="53A1E7F2" w:rsidR="00CE7C59" w:rsidRPr="00993C92" w:rsidRDefault="00CE7C59" w:rsidP="00DD411F">
      <w:pPr>
        <w:spacing w:after="0" w:line="257" w:lineRule="auto"/>
        <w:jc w:val="both"/>
        <w:rPr>
          <w:color w:val="000000" w:themeColor="text1"/>
        </w:rPr>
      </w:pPr>
      <w:bookmarkStart w:id="11" w:name="_Hlk89349452"/>
      <w:r w:rsidRPr="00993C92">
        <w:rPr>
          <w:color w:val="000000" w:themeColor="text1"/>
        </w:rPr>
        <w:t xml:space="preserve">Next, we analyzed if the observed antibody </w:t>
      </w:r>
      <w:r w:rsidR="00A24FCD" w:rsidRPr="00993C92">
        <w:rPr>
          <w:color w:val="000000" w:themeColor="text1"/>
        </w:rPr>
        <w:t>responses</w:t>
      </w:r>
      <w:r w:rsidRPr="00993C92">
        <w:rPr>
          <w:color w:val="000000" w:themeColor="text1"/>
        </w:rPr>
        <w:t xml:space="preserve"> would associate with human health </w:t>
      </w:r>
      <w:r w:rsidR="00E30F07" w:rsidRPr="00993C92">
        <w:rPr>
          <w:color w:val="000000" w:themeColor="text1"/>
        </w:rPr>
        <w:t xml:space="preserve">and diet </w:t>
      </w:r>
      <w:r w:rsidRPr="00993C92">
        <w:rPr>
          <w:color w:val="000000" w:themeColor="text1"/>
        </w:rPr>
        <w:t>parameters.</w:t>
      </w:r>
      <w:r w:rsidR="00A24FCD" w:rsidRPr="00993C92">
        <w:rPr>
          <w:color w:val="000000" w:themeColor="text1"/>
        </w:rPr>
        <w:t xml:space="preserve"> </w:t>
      </w:r>
      <w:r w:rsidR="00550C25" w:rsidRPr="00993C92">
        <w:rPr>
          <w:color w:val="000000" w:themeColor="text1"/>
        </w:rPr>
        <w:t>To this end</w:t>
      </w:r>
      <w:r w:rsidR="00A24FCD" w:rsidRPr="00993C92">
        <w:rPr>
          <w:color w:val="000000" w:themeColor="text1"/>
        </w:rPr>
        <w:t xml:space="preserve">, we leveraged metadata available for this cohort </w:t>
      </w:r>
      <w:r w:rsidR="00282B43" w:rsidRPr="00993C92">
        <w:rPr>
          <w:noProof/>
          <w:color w:val="000000" w:themeColor="text1"/>
        </w:rPr>
        <w:t>(Vogl et al., 2021)</w:t>
      </w:r>
      <w:r w:rsidR="00AE5A7B" w:rsidRPr="00993C92">
        <w:rPr>
          <w:color w:val="000000" w:themeColor="text1"/>
        </w:rPr>
        <w:t xml:space="preserve"> and </w:t>
      </w:r>
      <w:r w:rsidR="00E30F07" w:rsidRPr="00993C92">
        <w:rPr>
          <w:color w:val="000000" w:themeColor="text1"/>
        </w:rPr>
        <w:t>applied</w:t>
      </w:r>
      <w:r w:rsidR="00AE5A7B" w:rsidRPr="00993C92">
        <w:rPr>
          <w:color w:val="000000" w:themeColor="text1"/>
        </w:rPr>
        <w:t xml:space="preserve"> machine learning</w:t>
      </w:r>
      <w:r w:rsidR="00E30F07" w:rsidRPr="00993C92">
        <w:rPr>
          <w:color w:val="000000" w:themeColor="text1"/>
        </w:rPr>
        <w:t xml:space="preserve"> algorithms</w:t>
      </w:r>
      <w:r w:rsidR="00AE5A7B" w:rsidRPr="00993C92">
        <w:rPr>
          <w:color w:val="000000" w:themeColor="text1"/>
        </w:rPr>
        <w:t xml:space="preserve"> </w:t>
      </w:r>
      <w:r w:rsidR="00310378" w:rsidRPr="00993C92">
        <w:rPr>
          <w:color w:val="000000" w:themeColor="text1"/>
        </w:rPr>
        <w:t>(</w:t>
      </w:r>
      <w:r w:rsidR="00154EB9" w:rsidRPr="00993C92">
        <w:rPr>
          <w:color w:val="000000" w:themeColor="text1"/>
        </w:rPr>
        <w:t xml:space="preserve">Gradient Boosted Trees, </w:t>
      </w:r>
      <w:r w:rsidR="00DF04BD" w:rsidRPr="00993C92">
        <w:rPr>
          <w:color w:val="000000" w:themeColor="text1"/>
        </w:rPr>
        <w:t>STAR m</w:t>
      </w:r>
      <w:r w:rsidR="00154EB9" w:rsidRPr="00993C92">
        <w:rPr>
          <w:color w:val="000000" w:themeColor="text1"/>
        </w:rPr>
        <w:t>ethods</w:t>
      </w:r>
      <w:r w:rsidR="00AE5A7B" w:rsidRPr="00993C92">
        <w:rPr>
          <w:color w:val="000000" w:themeColor="text1"/>
        </w:rPr>
        <w:t>) to predict age and gender from Ig epitope repertoires (</w:t>
      </w:r>
      <w:r w:rsidR="00797351" w:rsidRPr="00993C92">
        <w:rPr>
          <w:color w:val="000000" w:themeColor="text1"/>
          <w:u w:val="single"/>
        </w:rPr>
        <w:t xml:space="preserve">Fig. </w:t>
      </w:r>
      <w:r w:rsidR="00797351" w:rsidRPr="00993C92">
        <w:rPr>
          <w:noProof/>
          <w:color w:val="000000" w:themeColor="text1"/>
          <w:u w:val="single"/>
        </w:rPr>
        <w:t>6</w:t>
      </w:r>
      <w:r w:rsidR="00AE5A7B" w:rsidRPr="00993C92">
        <w:rPr>
          <w:color w:val="000000" w:themeColor="text1"/>
        </w:rPr>
        <w:t>a-</w:t>
      </w:r>
      <w:r w:rsidR="00C01CD7" w:rsidRPr="00993C92">
        <w:rPr>
          <w:color w:val="000000" w:themeColor="text1"/>
        </w:rPr>
        <w:t>f</w:t>
      </w:r>
      <w:r w:rsidR="00AE5A7B" w:rsidRPr="00993C92">
        <w:rPr>
          <w:color w:val="000000" w:themeColor="text1"/>
        </w:rPr>
        <w:t>).</w:t>
      </w:r>
      <w:r w:rsidR="00A93A1B" w:rsidRPr="00993C92">
        <w:rPr>
          <w:color w:val="000000" w:themeColor="text1"/>
        </w:rPr>
        <w:t xml:space="preserve"> </w:t>
      </w:r>
      <w:r w:rsidR="005F6C25" w:rsidRPr="00993C92">
        <w:rPr>
          <w:color w:val="000000" w:themeColor="text1"/>
        </w:rPr>
        <w:t>Regarding age, comparing the youngest quintile of our cohort (&lt;</w:t>
      </w:r>
      <w:r w:rsidR="001A6F0F" w:rsidRPr="00993C92">
        <w:rPr>
          <w:color w:val="000000" w:themeColor="text1"/>
        </w:rPr>
        <w:t>31</w:t>
      </w:r>
      <w:r w:rsidR="005F6C25" w:rsidRPr="00993C92">
        <w:rPr>
          <w:color w:val="000000" w:themeColor="text1"/>
        </w:rPr>
        <w:t xml:space="preserve"> years of age) with the oldest quintile (&gt;</w:t>
      </w:r>
      <w:r w:rsidR="001A6F0F" w:rsidRPr="00993C92">
        <w:rPr>
          <w:color w:val="000000" w:themeColor="text1"/>
        </w:rPr>
        <w:t>56</w:t>
      </w:r>
      <w:r w:rsidR="005F6C25" w:rsidRPr="00993C92">
        <w:rPr>
          <w:color w:val="000000" w:themeColor="text1"/>
        </w:rPr>
        <w:t xml:space="preserve"> years of age) showed several diverging immune responses (</w:t>
      </w:r>
      <w:r w:rsidR="00797351" w:rsidRPr="00993C92">
        <w:rPr>
          <w:color w:val="000000" w:themeColor="text1"/>
          <w:u w:val="single"/>
        </w:rPr>
        <w:t xml:space="preserve">Fig. </w:t>
      </w:r>
      <w:r w:rsidR="00797351" w:rsidRPr="00993C92">
        <w:rPr>
          <w:noProof/>
          <w:color w:val="000000" w:themeColor="text1"/>
          <w:u w:val="single"/>
        </w:rPr>
        <w:t>6</w:t>
      </w:r>
      <w:r w:rsidR="005F6C25" w:rsidRPr="00993C92">
        <w:rPr>
          <w:color w:val="000000" w:themeColor="text1"/>
        </w:rPr>
        <w:t xml:space="preserve">a). </w:t>
      </w:r>
      <w:r w:rsidR="00F30B56" w:rsidRPr="00993C92">
        <w:rPr>
          <w:color w:val="000000" w:themeColor="text1"/>
        </w:rPr>
        <w:t xml:space="preserve">These included </w:t>
      </w:r>
      <w:r w:rsidR="007F1B8D" w:rsidRPr="00993C92">
        <w:rPr>
          <w:color w:val="000000" w:themeColor="text1"/>
        </w:rPr>
        <w:t xml:space="preserve">antigens of viruses and bacteria, but also some food proteins (full </w:t>
      </w:r>
      <w:r w:rsidR="00F30B56" w:rsidRPr="00993C92">
        <w:rPr>
          <w:color w:val="000000" w:themeColor="text1"/>
        </w:rPr>
        <w:t xml:space="preserve">list in </w:t>
      </w:r>
      <w:r w:rsidR="002615A5" w:rsidRPr="00993C92">
        <w:rPr>
          <w:color w:val="000000" w:themeColor="text1"/>
        </w:rPr>
        <w:t xml:space="preserve">Table S </w:t>
      </w:r>
      <w:r w:rsidR="002615A5" w:rsidRPr="00993C92">
        <w:rPr>
          <w:noProof/>
          <w:color w:val="000000" w:themeColor="text1"/>
        </w:rPr>
        <w:t>4</w:t>
      </w:r>
      <w:r w:rsidR="00F30B56" w:rsidRPr="00993C92">
        <w:rPr>
          <w:color w:val="000000" w:themeColor="text1"/>
        </w:rPr>
        <w:t>).</w:t>
      </w:r>
      <w:r w:rsidR="007F1B8D" w:rsidRPr="00993C92">
        <w:rPr>
          <w:color w:val="000000" w:themeColor="text1"/>
        </w:rPr>
        <w:t xml:space="preserve"> For example, p</w:t>
      </w:r>
      <w:r w:rsidR="001877BF" w:rsidRPr="00993C92">
        <w:rPr>
          <w:color w:val="000000" w:themeColor="text1"/>
        </w:rPr>
        <w:t xml:space="preserve">eptides </w:t>
      </w:r>
      <w:r w:rsidR="007F1B8D" w:rsidRPr="00993C92">
        <w:rPr>
          <w:color w:val="000000" w:themeColor="text1"/>
        </w:rPr>
        <w:t xml:space="preserve">from rice </w:t>
      </w:r>
      <w:r w:rsidR="001F75B4" w:rsidRPr="00993C92">
        <w:rPr>
          <w:color w:val="000000" w:themeColor="text1"/>
        </w:rPr>
        <w:t xml:space="preserve">or a legume </w:t>
      </w:r>
      <w:r w:rsidR="007F1B8D" w:rsidRPr="00993C92">
        <w:rPr>
          <w:color w:val="000000" w:themeColor="text1"/>
        </w:rPr>
        <w:t xml:space="preserve">was more frequently bound by antibodies in older individuals, whereas Ig responses against </w:t>
      </w:r>
      <w:r w:rsidR="00375FA6" w:rsidRPr="00993C92">
        <w:rPr>
          <w:color w:val="000000" w:themeColor="text1"/>
        </w:rPr>
        <w:t xml:space="preserve">peptides from </w:t>
      </w:r>
      <w:r w:rsidR="007F1B8D" w:rsidRPr="00993C92">
        <w:rPr>
          <w:color w:val="000000" w:themeColor="text1"/>
        </w:rPr>
        <w:t>milk or chicken proteins were overrepresented in the younger quintile</w:t>
      </w:r>
      <w:r w:rsidR="00375FA6" w:rsidRPr="00993C92">
        <w:rPr>
          <w:color w:val="000000" w:themeColor="text1"/>
        </w:rPr>
        <w:t xml:space="preserve"> (</w:t>
      </w:r>
      <w:r w:rsidR="00797351" w:rsidRPr="00993C92">
        <w:rPr>
          <w:color w:val="000000" w:themeColor="text1"/>
          <w:u w:val="single"/>
        </w:rPr>
        <w:t xml:space="preserve">Fig. </w:t>
      </w:r>
      <w:r w:rsidR="00797351" w:rsidRPr="00993C92">
        <w:rPr>
          <w:noProof/>
          <w:color w:val="000000" w:themeColor="text1"/>
          <w:u w:val="single"/>
        </w:rPr>
        <w:t>6</w:t>
      </w:r>
      <w:r w:rsidR="00375FA6" w:rsidRPr="00993C92">
        <w:rPr>
          <w:color w:val="000000" w:themeColor="text1"/>
        </w:rPr>
        <w:t xml:space="preserve">a, </w:t>
      </w:r>
      <w:r w:rsidR="002615A5" w:rsidRPr="00993C92">
        <w:rPr>
          <w:color w:val="000000" w:themeColor="text1"/>
        </w:rPr>
        <w:t xml:space="preserve">Table S </w:t>
      </w:r>
      <w:r w:rsidR="002615A5" w:rsidRPr="00993C92">
        <w:rPr>
          <w:noProof/>
          <w:color w:val="000000" w:themeColor="text1"/>
        </w:rPr>
        <w:t>4</w:t>
      </w:r>
      <w:r w:rsidR="00375FA6" w:rsidRPr="00993C92">
        <w:rPr>
          <w:color w:val="000000" w:themeColor="text1"/>
        </w:rPr>
        <w:t>)</w:t>
      </w:r>
      <w:r w:rsidR="007F1B8D" w:rsidRPr="00993C92">
        <w:rPr>
          <w:color w:val="000000" w:themeColor="text1"/>
        </w:rPr>
        <w:t xml:space="preserve">. </w:t>
      </w:r>
      <w:r w:rsidR="005F6C25" w:rsidRPr="00993C92">
        <w:rPr>
          <w:color w:val="000000" w:themeColor="text1"/>
        </w:rPr>
        <w:t>Training machine learning algorithms on these Ig epitope repertoires</w:t>
      </w:r>
      <w:r w:rsidR="00257485" w:rsidRPr="00993C92">
        <w:rPr>
          <w:color w:val="000000" w:themeColor="text1"/>
        </w:rPr>
        <w:t xml:space="preserve"> could predict age with R²=0.31</w:t>
      </w:r>
      <w:r w:rsidR="00E74D52" w:rsidRPr="00993C92">
        <w:rPr>
          <w:color w:val="000000" w:themeColor="text1"/>
        </w:rPr>
        <w:t xml:space="preserve"> (</w:t>
      </w:r>
      <w:r w:rsidR="00797351" w:rsidRPr="00993C92">
        <w:rPr>
          <w:color w:val="000000" w:themeColor="text1"/>
          <w:u w:val="single"/>
        </w:rPr>
        <w:t xml:space="preserve">Fig. </w:t>
      </w:r>
      <w:r w:rsidR="00797351" w:rsidRPr="00993C92">
        <w:rPr>
          <w:noProof/>
          <w:color w:val="000000" w:themeColor="text1"/>
          <w:u w:val="single"/>
        </w:rPr>
        <w:t>6</w:t>
      </w:r>
      <w:r w:rsidR="00225A6C" w:rsidRPr="00993C92">
        <w:rPr>
          <w:color w:val="000000" w:themeColor="text1"/>
        </w:rPr>
        <w:t>b</w:t>
      </w:r>
      <w:r w:rsidR="005F6C25" w:rsidRPr="00993C92">
        <w:rPr>
          <w:color w:val="000000" w:themeColor="text1"/>
        </w:rPr>
        <w:t>)</w:t>
      </w:r>
      <w:r w:rsidR="00257485" w:rsidRPr="00993C92">
        <w:rPr>
          <w:color w:val="000000" w:themeColor="text1"/>
        </w:rPr>
        <w:t xml:space="preserve">. </w:t>
      </w:r>
      <w:r w:rsidR="0058302A" w:rsidRPr="00993C92">
        <w:rPr>
          <w:color w:val="000000" w:themeColor="text1"/>
        </w:rPr>
        <w:t xml:space="preserve">We applied SHAP (SHapley Additive exPlanations) analysis </w:t>
      </w:r>
      <w:r w:rsidR="00282B43" w:rsidRPr="00993C92">
        <w:rPr>
          <w:rFonts w:eastAsiaTheme="minorEastAsia"/>
          <w:noProof/>
          <w:color w:val="000000" w:themeColor="text1"/>
        </w:rPr>
        <w:t>(Lundberg and Lee, 2017)</w:t>
      </w:r>
      <w:r w:rsidR="0058302A" w:rsidRPr="00993C92">
        <w:rPr>
          <w:rFonts w:eastAsiaTheme="minorEastAsia"/>
          <w:color w:val="000000" w:themeColor="text1"/>
        </w:rPr>
        <w:t xml:space="preserve"> t</w:t>
      </w:r>
      <w:r w:rsidR="00257485" w:rsidRPr="00993C92">
        <w:rPr>
          <w:color w:val="000000" w:themeColor="text1"/>
        </w:rPr>
        <w:t>o understand</w:t>
      </w:r>
      <w:r w:rsidR="0058302A" w:rsidRPr="00993C92">
        <w:rPr>
          <w:color w:val="000000" w:themeColor="text1"/>
        </w:rPr>
        <w:t xml:space="preserve"> antibody responses against which peptides were contributing to this outcome</w:t>
      </w:r>
      <w:r w:rsidR="00225A6C" w:rsidRPr="00993C92">
        <w:rPr>
          <w:color w:val="000000" w:themeColor="text1"/>
        </w:rPr>
        <w:t xml:space="preserve"> (</w:t>
      </w:r>
      <w:r w:rsidR="00797351" w:rsidRPr="00993C92">
        <w:rPr>
          <w:color w:val="000000" w:themeColor="text1"/>
          <w:u w:val="single"/>
        </w:rPr>
        <w:t xml:space="preserve">Fig. </w:t>
      </w:r>
      <w:r w:rsidR="00797351" w:rsidRPr="00993C92">
        <w:rPr>
          <w:noProof/>
          <w:color w:val="000000" w:themeColor="text1"/>
          <w:u w:val="single"/>
        </w:rPr>
        <w:t>6</w:t>
      </w:r>
      <w:r w:rsidR="00225A6C" w:rsidRPr="00993C92">
        <w:rPr>
          <w:color w:val="000000" w:themeColor="text1"/>
        </w:rPr>
        <w:t>c)</w:t>
      </w:r>
      <w:r w:rsidR="0058302A" w:rsidRPr="00993C92">
        <w:rPr>
          <w:color w:val="000000" w:themeColor="text1"/>
        </w:rPr>
        <w:t>.</w:t>
      </w:r>
      <w:r w:rsidR="00225A6C" w:rsidRPr="00993C92">
        <w:rPr>
          <w:color w:val="000000" w:themeColor="text1"/>
        </w:rPr>
        <w:t xml:space="preserve"> Several peptides originating from pathogenic bacteria and viruses (such as herpesviruses and </w:t>
      </w:r>
      <w:r w:rsidR="00225A6C" w:rsidRPr="00993C92">
        <w:rPr>
          <w:i/>
          <w:color w:val="000000" w:themeColor="text1"/>
        </w:rPr>
        <w:t>Streptococcus</w:t>
      </w:r>
      <w:r w:rsidR="00DD411F" w:rsidRPr="00993C92">
        <w:rPr>
          <w:i/>
          <w:color w:val="000000" w:themeColor="text1"/>
        </w:rPr>
        <w:t xml:space="preserve"> sp.</w:t>
      </w:r>
      <w:r w:rsidR="00225A6C" w:rsidRPr="00993C92">
        <w:rPr>
          <w:color w:val="000000" w:themeColor="text1"/>
        </w:rPr>
        <w:t xml:space="preserve">) as well as </w:t>
      </w:r>
      <w:r w:rsidR="008E390E" w:rsidRPr="00993C92">
        <w:rPr>
          <w:color w:val="000000" w:themeColor="text1"/>
        </w:rPr>
        <w:t>food (</w:t>
      </w:r>
      <w:r w:rsidR="008E390E" w:rsidRPr="00993C92">
        <w:rPr>
          <w:i/>
          <w:color w:val="000000" w:themeColor="text1"/>
        </w:rPr>
        <w:t>e.g.</w:t>
      </w:r>
      <w:r w:rsidR="008E390E" w:rsidRPr="00993C92">
        <w:rPr>
          <w:color w:val="000000" w:themeColor="text1"/>
        </w:rPr>
        <w:t xml:space="preserve"> milk) and environmental antigens (</w:t>
      </w:r>
      <w:r w:rsidR="008E390E" w:rsidRPr="00993C92">
        <w:rPr>
          <w:i/>
          <w:color w:val="000000" w:themeColor="text1"/>
        </w:rPr>
        <w:t>e.g.</w:t>
      </w:r>
      <w:r w:rsidR="008E390E" w:rsidRPr="00993C92">
        <w:rPr>
          <w:color w:val="000000" w:themeColor="text1"/>
        </w:rPr>
        <w:t xml:space="preserve"> dust mite) were identified</w:t>
      </w:r>
      <w:r w:rsidR="00225A6C" w:rsidRPr="00993C92">
        <w:rPr>
          <w:color w:val="000000" w:themeColor="text1"/>
        </w:rPr>
        <w:t xml:space="preserve"> (a list of </w:t>
      </w:r>
      <w:r w:rsidR="008E390E" w:rsidRPr="00993C92">
        <w:rPr>
          <w:color w:val="000000" w:themeColor="text1"/>
        </w:rPr>
        <w:t xml:space="preserve">the </w:t>
      </w:r>
      <w:r w:rsidR="00225A6C" w:rsidRPr="00993C92">
        <w:rPr>
          <w:color w:val="000000" w:themeColor="text1"/>
        </w:rPr>
        <w:t xml:space="preserve">exact proteins is provided in </w:t>
      </w:r>
      <w:r w:rsidR="002615A5" w:rsidRPr="00993C92">
        <w:rPr>
          <w:color w:val="000000" w:themeColor="text1"/>
        </w:rPr>
        <w:t xml:space="preserve">Table S </w:t>
      </w:r>
      <w:r w:rsidR="002615A5" w:rsidRPr="00993C92">
        <w:rPr>
          <w:noProof/>
          <w:color w:val="000000" w:themeColor="text1"/>
        </w:rPr>
        <w:t>4</w:t>
      </w:r>
      <w:r w:rsidR="00225A6C" w:rsidRPr="00993C92">
        <w:rPr>
          <w:color w:val="000000" w:themeColor="text1"/>
        </w:rPr>
        <w:t>)</w:t>
      </w:r>
      <w:r w:rsidR="008E390E" w:rsidRPr="00993C92">
        <w:rPr>
          <w:color w:val="000000" w:themeColor="text1"/>
        </w:rPr>
        <w:t>.</w:t>
      </w:r>
    </w:p>
    <w:p w14:paraId="469597BF" w14:textId="200FD66A" w:rsidR="00CE7C59" w:rsidRPr="00993C92" w:rsidRDefault="0058302A" w:rsidP="00DD411F">
      <w:pPr>
        <w:spacing w:after="0" w:line="257" w:lineRule="auto"/>
        <w:jc w:val="both"/>
        <w:rPr>
          <w:color w:val="000000" w:themeColor="text1"/>
        </w:rPr>
      </w:pPr>
      <w:r w:rsidRPr="00993C92">
        <w:rPr>
          <w:color w:val="000000" w:themeColor="text1"/>
        </w:rPr>
        <w:t>For gender,</w:t>
      </w:r>
      <w:r w:rsidR="00C01CD7" w:rsidRPr="00993C92">
        <w:rPr>
          <w:color w:val="000000" w:themeColor="text1"/>
        </w:rPr>
        <w:t xml:space="preserve"> there were also significant differences against binding of a few peptides (</w:t>
      </w:r>
      <w:r w:rsidR="00797351" w:rsidRPr="00993C92">
        <w:rPr>
          <w:color w:val="000000" w:themeColor="text1"/>
          <w:u w:val="single"/>
        </w:rPr>
        <w:t xml:space="preserve">Fig. </w:t>
      </w:r>
      <w:r w:rsidR="00797351" w:rsidRPr="00993C92">
        <w:rPr>
          <w:noProof/>
          <w:color w:val="000000" w:themeColor="text1"/>
          <w:u w:val="single"/>
        </w:rPr>
        <w:t>6</w:t>
      </w:r>
      <w:r w:rsidR="00C01CD7" w:rsidRPr="00993C92">
        <w:rPr>
          <w:color w:val="000000" w:themeColor="text1"/>
        </w:rPr>
        <w:t>d)</w:t>
      </w:r>
      <w:r w:rsidR="00DB35AF" w:rsidRPr="00993C92">
        <w:rPr>
          <w:color w:val="000000" w:themeColor="text1"/>
        </w:rPr>
        <w:t xml:space="preserve">. A </w:t>
      </w:r>
      <w:r w:rsidR="004743C8" w:rsidRPr="00993C92">
        <w:rPr>
          <w:color w:val="000000" w:themeColor="text1"/>
        </w:rPr>
        <w:t xml:space="preserve">peptide from a </w:t>
      </w:r>
      <w:r w:rsidR="00DB35AF" w:rsidRPr="00993C92">
        <w:rPr>
          <w:color w:val="000000" w:themeColor="text1"/>
        </w:rPr>
        <w:t>cereal protein was overrepresented in males</w:t>
      </w:r>
      <w:r w:rsidR="004743C8" w:rsidRPr="00993C92">
        <w:rPr>
          <w:color w:val="000000" w:themeColor="text1"/>
        </w:rPr>
        <w:t xml:space="preserve"> (</w:t>
      </w:r>
      <w:r w:rsidR="00797351" w:rsidRPr="00993C92">
        <w:rPr>
          <w:color w:val="000000" w:themeColor="text1"/>
          <w:u w:val="single"/>
        </w:rPr>
        <w:t xml:space="preserve">Fig. </w:t>
      </w:r>
      <w:r w:rsidR="00797351" w:rsidRPr="00993C92">
        <w:rPr>
          <w:noProof/>
          <w:color w:val="000000" w:themeColor="text1"/>
          <w:u w:val="single"/>
        </w:rPr>
        <w:t>6</w:t>
      </w:r>
      <w:r w:rsidR="004743C8" w:rsidRPr="00993C92">
        <w:rPr>
          <w:color w:val="000000" w:themeColor="text1"/>
        </w:rPr>
        <w:t xml:space="preserve">d, </w:t>
      </w:r>
      <w:r w:rsidR="002615A5" w:rsidRPr="00993C92">
        <w:rPr>
          <w:color w:val="000000" w:themeColor="text1"/>
        </w:rPr>
        <w:t xml:space="preserve">Table S </w:t>
      </w:r>
      <w:r w:rsidR="002615A5" w:rsidRPr="00993C92">
        <w:rPr>
          <w:noProof/>
          <w:color w:val="000000" w:themeColor="text1"/>
        </w:rPr>
        <w:t>4</w:t>
      </w:r>
      <w:r w:rsidR="004743C8" w:rsidRPr="00993C92">
        <w:rPr>
          <w:color w:val="000000" w:themeColor="text1"/>
        </w:rPr>
        <w:t>)</w:t>
      </w:r>
      <w:r w:rsidR="00DB35AF" w:rsidRPr="00993C92">
        <w:rPr>
          <w:color w:val="000000" w:themeColor="text1"/>
        </w:rPr>
        <w:t xml:space="preserve">, possibly owing to </w:t>
      </w:r>
      <w:r w:rsidR="00F34161" w:rsidRPr="00993C92">
        <w:rPr>
          <w:color w:val="000000" w:themeColor="text1"/>
        </w:rPr>
        <w:t>dietary</w:t>
      </w:r>
      <w:r w:rsidR="00DB35AF" w:rsidRPr="00993C92">
        <w:rPr>
          <w:color w:val="000000" w:themeColor="text1"/>
        </w:rPr>
        <w:t xml:space="preserve"> </w:t>
      </w:r>
      <w:r w:rsidR="00F34161" w:rsidRPr="00993C92">
        <w:rPr>
          <w:color w:val="000000" w:themeColor="text1"/>
        </w:rPr>
        <w:t>differences between genders</w:t>
      </w:r>
      <w:r w:rsidR="00DB35AF" w:rsidRPr="00993C92">
        <w:rPr>
          <w:color w:val="000000" w:themeColor="text1"/>
        </w:rPr>
        <w:t>. W</w:t>
      </w:r>
      <w:r w:rsidRPr="00993C92">
        <w:rPr>
          <w:color w:val="000000" w:themeColor="text1"/>
        </w:rPr>
        <w:t xml:space="preserve">e performed </w:t>
      </w:r>
      <w:r w:rsidR="00C01CD7" w:rsidRPr="00993C92">
        <w:rPr>
          <w:color w:val="000000" w:themeColor="text1"/>
        </w:rPr>
        <w:t xml:space="preserve">a </w:t>
      </w:r>
      <w:r w:rsidRPr="00993C92">
        <w:rPr>
          <w:color w:val="000000" w:themeColor="text1"/>
        </w:rPr>
        <w:t>similar</w:t>
      </w:r>
      <w:r w:rsidR="00C01CD7" w:rsidRPr="00993C92">
        <w:rPr>
          <w:color w:val="000000" w:themeColor="text1"/>
        </w:rPr>
        <w:t xml:space="preserve"> machine learning driven</w:t>
      </w:r>
      <w:r w:rsidRPr="00993C92">
        <w:rPr>
          <w:color w:val="000000" w:themeColor="text1"/>
        </w:rPr>
        <w:t xml:space="preserve"> analysis and could classify between men and women with an AUC</w:t>
      </w:r>
      <w:r w:rsidR="00B7554E" w:rsidRPr="00993C92">
        <w:rPr>
          <w:color w:val="000000" w:themeColor="text1"/>
        </w:rPr>
        <w:t xml:space="preserve"> (area under the curve)</w:t>
      </w:r>
      <w:r w:rsidRPr="00993C92">
        <w:rPr>
          <w:color w:val="000000" w:themeColor="text1"/>
        </w:rPr>
        <w:t xml:space="preserve"> of 0.7</w:t>
      </w:r>
      <w:r w:rsidR="00CB1EAD" w:rsidRPr="00993C92">
        <w:rPr>
          <w:color w:val="000000" w:themeColor="text1"/>
        </w:rPr>
        <w:t>1</w:t>
      </w:r>
      <w:r w:rsidRPr="00993C92">
        <w:rPr>
          <w:color w:val="000000" w:themeColor="text1"/>
        </w:rPr>
        <w:t xml:space="preserve"> (</w:t>
      </w:r>
      <w:r w:rsidR="00797351" w:rsidRPr="00993C92">
        <w:rPr>
          <w:color w:val="000000" w:themeColor="text1"/>
          <w:u w:val="single"/>
        </w:rPr>
        <w:t xml:space="preserve">Fig. </w:t>
      </w:r>
      <w:r w:rsidR="00797351" w:rsidRPr="00993C92">
        <w:rPr>
          <w:noProof/>
          <w:color w:val="000000" w:themeColor="text1"/>
          <w:u w:val="single"/>
        </w:rPr>
        <w:t>6</w:t>
      </w:r>
      <w:r w:rsidR="00C01CD7" w:rsidRPr="00993C92">
        <w:rPr>
          <w:color w:val="000000" w:themeColor="text1"/>
        </w:rPr>
        <w:t>e</w:t>
      </w:r>
      <w:r w:rsidR="00A629BF" w:rsidRPr="00993C92">
        <w:rPr>
          <w:color w:val="000000" w:themeColor="text1"/>
        </w:rPr>
        <w:t xml:space="preserve">, </w:t>
      </w:r>
      <w:r w:rsidR="002B3DC6" w:rsidRPr="00993C92">
        <w:rPr>
          <w:color w:val="000000" w:themeColor="text1"/>
        </w:rPr>
        <w:t xml:space="preserve">Figure S </w:t>
      </w:r>
      <w:r w:rsidR="002B3DC6" w:rsidRPr="00993C92">
        <w:rPr>
          <w:noProof/>
          <w:color w:val="000000" w:themeColor="text1"/>
        </w:rPr>
        <w:lastRenderedPageBreak/>
        <w:t>6</w:t>
      </w:r>
      <w:r w:rsidR="002B3DC6" w:rsidRPr="00993C92">
        <w:rPr>
          <w:color w:val="000000" w:themeColor="text1"/>
        </w:rPr>
        <w:t>c</w:t>
      </w:r>
      <w:r w:rsidRPr="00993C92">
        <w:rPr>
          <w:color w:val="000000" w:themeColor="text1"/>
        </w:rPr>
        <w:t>). SHAP analysis indicated</w:t>
      </w:r>
      <w:r w:rsidR="002733C2" w:rsidRPr="00993C92">
        <w:rPr>
          <w:color w:val="000000" w:themeColor="text1"/>
        </w:rPr>
        <w:t>, that</w:t>
      </w:r>
      <w:r w:rsidRPr="00993C92">
        <w:rPr>
          <w:color w:val="000000" w:themeColor="text1"/>
        </w:rPr>
        <w:t xml:space="preserve"> mostly </w:t>
      </w:r>
      <w:r w:rsidR="002733C2" w:rsidRPr="00993C92">
        <w:rPr>
          <w:color w:val="000000" w:themeColor="text1"/>
        </w:rPr>
        <w:t xml:space="preserve">antibody responses against </w:t>
      </w:r>
      <w:r w:rsidRPr="00993C92">
        <w:rPr>
          <w:color w:val="000000" w:themeColor="text1"/>
        </w:rPr>
        <w:t xml:space="preserve">viral and bacterial </w:t>
      </w:r>
      <w:r w:rsidR="002733C2" w:rsidRPr="00993C92">
        <w:rPr>
          <w:color w:val="000000" w:themeColor="text1"/>
        </w:rPr>
        <w:t>proteins</w:t>
      </w:r>
      <w:r w:rsidR="00DD411F" w:rsidRPr="00993C92">
        <w:rPr>
          <w:color w:val="000000" w:themeColor="text1"/>
        </w:rPr>
        <w:t xml:space="preserve"> (</w:t>
      </w:r>
      <w:r w:rsidR="00DD411F" w:rsidRPr="00993C92">
        <w:rPr>
          <w:i/>
          <w:color w:val="000000" w:themeColor="text1"/>
        </w:rPr>
        <w:t>e.g.</w:t>
      </w:r>
      <w:r w:rsidR="00DD411F" w:rsidRPr="00993C92">
        <w:rPr>
          <w:color w:val="000000" w:themeColor="text1"/>
        </w:rPr>
        <w:t xml:space="preserve"> influenza viruses, </w:t>
      </w:r>
      <w:r w:rsidR="00DD411F" w:rsidRPr="00993C92">
        <w:rPr>
          <w:i/>
          <w:color w:val="000000" w:themeColor="text1"/>
        </w:rPr>
        <w:t>Staphylococcus sp.</w:t>
      </w:r>
      <w:r w:rsidR="00DD411F" w:rsidRPr="00993C92">
        <w:rPr>
          <w:color w:val="000000" w:themeColor="text1"/>
        </w:rPr>
        <w:t>)</w:t>
      </w:r>
      <w:r w:rsidR="002733C2" w:rsidRPr="00993C92">
        <w:rPr>
          <w:color w:val="000000" w:themeColor="text1"/>
        </w:rPr>
        <w:t xml:space="preserve"> were contributing to this result, although also some food proteins </w:t>
      </w:r>
      <w:r w:rsidR="00DD411F" w:rsidRPr="00993C92">
        <w:rPr>
          <w:color w:val="000000" w:themeColor="text1"/>
        </w:rPr>
        <w:t>from chicken</w:t>
      </w:r>
      <w:r w:rsidR="002733C2" w:rsidRPr="00993C92">
        <w:rPr>
          <w:color w:val="000000" w:themeColor="text1"/>
        </w:rPr>
        <w:t xml:space="preserve"> and </w:t>
      </w:r>
      <w:r w:rsidR="00DD411F" w:rsidRPr="00993C92">
        <w:rPr>
          <w:color w:val="000000" w:themeColor="text1"/>
        </w:rPr>
        <w:t xml:space="preserve">lentils </w:t>
      </w:r>
      <w:r w:rsidR="00F91065" w:rsidRPr="00993C92">
        <w:rPr>
          <w:color w:val="000000" w:themeColor="text1"/>
        </w:rPr>
        <w:t>appear</w:t>
      </w:r>
      <w:r w:rsidR="0002437A" w:rsidRPr="00993C92">
        <w:rPr>
          <w:color w:val="000000" w:themeColor="text1"/>
        </w:rPr>
        <w:t>ed</w:t>
      </w:r>
      <w:r w:rsidR="002733C2" w:rsidRPr="00993C92">
        <w:rPr>
          <w:color w:val="000000" w:themeColor="text1"/>
        </w:rPr>
        <w:t xml:space="preserve"> </w:t>
      </w:r>
      <w:r w:rsidRPr="00993C92">
        <w:rPr>
          <w:color w:val="000000" w:themeColor="text1"/>
        </w:rPr>
        <w:t>(</w:t>
      </w:r>
      <w:r w:rsidR="00797351" w:rsidRPr="00993C92">
        <w:rPr>
          <w:color w:val="000000" w:themeColor="text1"/>
          <w:u w:val="single"/>
        </w:rPr>
        <w:t xml:space="preserve">Fig. </w:t>
      </w:r>
      <w:r w:rsidR="00797351" w:rsidRPr="00993C92">
        <w:rPr>
          <w:noProof/>
          <w:color w:val="000000" w:themeColor="text1"/>
          <w:u w:val="single"/>
        </w:rPr>
        <w:t>6</w:t>
      </w:r>
      <w:r w:rsidR="00C01CD7" w:rsidRPr="00993C92">
        <w:rPr>
          <w:color w:val="000000" w:themeColor="text1"/>
        </w:rPr>
        <w:t>f</w:t>
      </w:r>
      <w:r w:rsidR="00DD411F" w:rsidRPr="00993C92">
        <w:rPr>
          <w:color w:val="000000" w:themeColor="text1"/>
        </w:rPr>
        <w:t>,</w:t>
      </w:r>
      <w:r w:rsidR="002615A5" w:rsidRPr="00993C92">
        <w:rPr>
          <w:color w:val="000000" w:themeColor="text1"/>
        </w:rPr>
        <w:t xml:space="preserve"> Table S </w:t>
      </w:r>
      <w:r w:rsidR="002615A5" w:rsidRPr="00993C92">
        <w:rPr>
          <w:noProof/>
          <w:color w:val="000000" w:themeColor="text1"/>
        </w:rPr>
        <w:t>4</w:t>
      </w:r>
      <w:r w:rsidRPr="00993C92">
        <w:rPr>
          <w:color w:val="000000" w:themeColor="text1"/>
        </w:rPr>
        <w:t>)</w:t>
      </w:r>
      <w:r w:rsidR="00DD411F" w:rsidRPr="00993C92">
        <w:rPr>
          <w:color w:val="000000" w:themeColor="text1"/>
        </w:rPr>
        <w:t>.</w:t>
      </w:r>
    </w:p>
    <w:p w14:paraId="5B6D6C75" w14:textId="071DE4B3" w:rsidR="003922EE" w:rsidRPr="00993C92" w:rsidRDefault="002733C2" w:rsidP="00DD411F">
      <w:pPr>
        <w:spacing w:after="0" w:line="257" w:lineRule="auto"/>
        <w:jc w:val="both"/>
        <w:rPr>
          <w:color w:val="000000" w:themeColor="text1"/>
        </w:rPr>
      </w:pPr>
      <w:r w:rsidRPr="00993C92">
        <w:rPr>
          <w:color w:val="000000" w:themeColor="text1"/>
        </w:rPr>
        <w:t xml:space="preserve">We also leveraged </w:t>
      </w:r>
      <w:r w:rsidR="002E2108" w:rsidRPr="00993C92">
        <w:rPr>
          <w:color w:val="000000" w:themeColor="text1"/>
        </w:rPr>
        <w:t xml:space="preserve">serum </w:t>
      </w:r>
      <w:r w:rsidRPr="00993C92">
        <w:rPr>
          <w:color w:val="000000" w:themeColor="text1"/>
        </w:rPr>
        <w:t>metabolomics data</w:t>
      </w:r>
      <w:r w:rsidR="002E2108" w:rsidRPr="00993C92">
        <w:rPr>
          <w:color w:val="000000" w:themeColor="text1"/>
        </w:rPr>
        <w:t xml:space="preserve"> available for a subset of individuals within this cohort</w:t>
      </w:r>
      <w:r w:rsidRPr="00993C92">
        <w:rPr>
          <w:color w:val="000000" w:themeColor="text1"/>
        </w:rPr>
        <w:t xml:space="preserve"> </w:t>
      </w:r>
      <w:r w:rsidR="00282B43" w:rsidRPr="00993C92">
        <w:rPr>
          <w:noProof/>
          <w:color w:val="000000" w:themeColor="text1"/>
        </w:rPr>
        <w:t>(Bar et al., 2020)</w:t>
      </w:r>
      <w:r w:rsidRPr="00993C92">
        <w:rPr>
          <w:color w:val="000000" w:themeColor="text1"/>
        </w:rPr>
        <w:t xml:space="preserve"> </w:t>
      </w:r>
      <w:r w:rsidR="002E2108" w:rsidRPr="00993C92">
        <w:rPr>
          <w:color w:val="000000" w:themeColor="text1"/>
        </w:rPr>
        <w:t xml:space="preserve">to test for potential links </w:t>
      </w:r>
      <w:r w:rsidR="00A629BF" w:rsidRPr="00993C92">
        <w:rPr>
          <w:color w:val="000000" w:themeColor="text1"/>
        </w:rPr>
        <w:t>between</w:t>
      </w:r>
      <w:r w:rsidR="002E2108" w:rsidRPr="00993C92">
        <w:rPr>
          <w:color w:val="000000" w:themeColor="text1"/>
        </w:rPr>
        <w:t xml:space="preserve"> antibody binding to food proteins and metabolites. As diet</w:t>
      </w:r>
      <w:r w:rsidR="00F32289" w:rsidRPr="00993C92">
        <w:rPr>
          <w:color w:val="000000" w:themeColor="text1"/>
        </w:rPr>
        <w:t xml:space="preserve"> is a key contributor to</w:t>
      </w:r>
      <w:r w:rsidR="002E2108" w:rsidRPr="00993C92">
        <w:rPr>
          <w:color w:val="000000" w:themeColor="text1"/>
        </w:rPr>
        <w:t xml:space="preserve"> the</w:t>
      </w:r>
      <w:r w:rsidR="00F32289" w:rsidRPr="00993C92">
        <w:rPr>
          <w:color w:val="000000" w:themeColor="text1"/>
        </w:rPr>
        <w:t xml:space="preserve"> chemical</w:t>
      </w:r>
      <w:r w:rsidR="002E2108" w:rsidRPr="00993C92">
        <w:rPr>
          <w:color w:val="000000" w:themeColor="text1"/>
        </w:rPr>
        <w:t xml:space="preserve"> </w:t>
      </w:r>
      <w:r w:rsidR="00F32289" w:rsidRPr="00993C92">
        <w:rPr>
          <w:color w:val="000000" w:themeColor="text1"/>
        </w:rPr>
        <w:t xml:space="preserve">makeup of the </w:t>
      </w:r>
      <w:r w:rsidR="002E2108" w:rsidRPr="00993C92">
        <w:rPr>
          <w:color w:val="000000" w:themeColor="text1"/>
        </w:rPr>
        <w:t>serum metabolome</w:t>
      </w:r>
      <w:r w:rsidR="00433019" w:rsidRPr="00993C92">
        <w:rPr>
          <w:color w:val="000000" w:themeColor="text1"/>
        </w:rPr>
        <w:t xml:space="preserve"> </w:t>
      </w:r>
      <w:r w:rsidR="00282B43" w:rsidRPr="00993C92">
        <w:rPr>
          <w:noProof/>
          <w:color w:val="000000" w:themeColor="text1"/>
        </w:rPr>
        <w:t>(Bar et al., 2020)</w:t>
      </w:r>
      <w:r w:rsidR="002E2108" w:rsidRPr="00993C92">
        <w:rPr>
          <w:color w:val="000000" w:themeColor="text1"/>
        </w:rPr>
        <w:t xml:space="preserve">, we hypothesized that intake of foods leading </w:t>
      </w:r>
      <w:r w:rsidR="00433019" w:rsidRPr="00993C92">
        <w:rPr>
          <w:color w:val="000000" w:themeColor="text1"/>
        </w:rPr>
        <w:t xml:space="preserve">to elevated </w:t>
      </w:r>
      <w:r w:rsidR="00B07A39" w:rsidRPr="00993C92">
        <w:rPr>
          <w:color w:val="000000" w:themeColor="text1"/>
        </w:rPr>
        <w:t>concentrations</w:t>
      </w:r>
      <w:r w:rsidR="00433019" w:rsidRPr="00993C92">
        <w:rPr>
          <w:color w:val="000000" w:themeColor="text1"/>
        </w:rPr>
        <w:t xml:space="preserve"> of certain metabolites, could also associate with antibody responses against proteins of the same food. By correlating clusters of antibody responses against food proteins (</w:t>
      </w:r>
      <w:r w:rsidR="000139E9" w:rsidRPr="00993C92">
        <w:rPr>
          <w:color w:val="000000" w:themeColor="text1"/>
        </w:rPr>
        <w:t>Fig. 2</w:t>
      </w:r>
      <w:r w:rsidR="00433019" w:rsidRPr="00993C92">
        <w:rPr>
          <w:color w:val="000000" w:themeColor="text1"/>
        </w:rPr>
        <w:t>c</w:t>
      </w:r>
      <w:r w:rsidR="007E6043" w:rsidRPr="00993C92">
        <w:rPr>
          <w:color w:val="000000" w:themeColor="text1"/>
        </w:rPr>
        <w:t xml:space="preserve">, </w:t>
      </w:r>
      <w:r w:rsidR="002B3DC6" w:rsidRPr="00993C92">
        <w:rPr>
          <w:color w:val="000000" w:themeColor="text1"/>
        </w:rPr>
        <w:t xml:space="preserve">Figure S </w:t>
      </w:r>
      <w:r w:rsidR="002B3DC6" w:rsidRPr="00993C92">
        <w:rPr>
          <w:noProof/>
          <w:color w:val="000000" w:themeColor="text1"/>
        </w:rPr>
        <w:t>6</w:t>
      </w:r>
      <w:r w:rsidR="002B3DC6" w:rsidRPr="00993C92">
        <w:rPr>
          <w:color w:val="000000" w:themeColor="text1"/>
        </w:rPr>
        <w:t>d</w:t>
      </w:r>
      <w:r w:rsidR="00433019" w:rsidRPr="00993C92">
        <w:rPr>
          <w:color w:val="000000" w:themeColor="text1"/>
        </w:rPr>
        <w:t>) with serum metabolite</w:t>
      </w:r>
      <w:r w:rsidR="00B07A39" w:rsidRPr="00993C92">
        <w:rPr>
          <w:color w:val="000000" w:themeColor="text1"/>
        </w:rPr>
        <w:t>s</w:t>
      </w:r>
      <w:r w:rsidR="00433019" w:rsidRPr="00993C92">
        <w:rPr>
          <w:color w:val="000000" w:themeColor="text1"/>
        </w:rPr>
        <w:t xml:space="preserve">, we found a </w:t>
      </w:r>
      <w:r w:rsidR="007E6043" w:rsidRPr="00993C92">
        <w:rPr>
          <w:color w:val="000000" w:themeColor="text1"/>
        </w:rPr>
        <w:t>significant (p-value 4.2*10</w:t>
      </w:r>
      <w:r w:rsidR="007E6043" w:rsidRPr="00993C92">
        <w:rPr>
          <w:color w:val="000000" w:themeColor="text1"/>
          <w:vertAlign w:val="superscript"/>
        </w:rPr>
        <w:t>-6</w:t>
      </w:r>
      <w:r w:rsidR="007E6043" w:rsidRPr="00993C92">
        <w:rPr>
          <w:color w:val="000000" w:themeColor="text1"/>
        </w:rPr>
        <w:t xml:space="preserve"> Benjamini Yekutieli FDR</w:t>
      </w:r>
      <w:r w:rsidR="00A629BF" w:rsidRPr="00993C92">
        <w:rPr>
          <w:color w:val="000000" w:themeColor="text1"/>
        </w:rPr>
        <w:t xml:space="preserve">, </w:t>
      </w:r>
      <w:r w:rsidR="002B3DC6" w:rsidRPr="00993C92">
        <w:rPr>
          <w:color w:val="000000" w:themeColor="text1"/>
        </w:rPr>
        <w:t xml:space="preserve">Figure S </w:t>
      </w:r>
      <w:r w:rsidR="002B3DC6" w:rsidRPr="00993C92">
        <w:rPr>
          <w:noProof/>
          <w:color w:val="000000" w:themeColor="text1"/>
        </w:rPr>
        <w:t>6</w:t>
      </w:r>
      <w:r w:rsidR="002B3DC6" w:rsidRPr="00993C92">
        <w:rPr>
          <w:color w:val="000000" w:themeColor="text1"/>
        </w:rPr>
        <w:t>d</w:t>
      </w:r>
      <w:r w:rsidR="007E6043" w:rsidRPr="00993C92">
        <w:rPr>
          <w:color w:val="000000" w:themeColor="text1"/>
        </w:rPr>
        <w:t xml:space="preserve">) </w:t>
      </w:r>
      <w:r w:rsidR="00433019" w:rsidRPr="00993C92">
        <w:rPr>
          <w:color w:val="000000" w:themeColor="text1"/>
        </w:rPr>
        <w:t>association of legumes (</w:t>
      </w:r>
      <w:r w:rsidR="000314C4" w:rsidRPr="00993C92">
        <w:rPr>
          <w:color w:val="000000" w:themeColor="text1"/>
        </w:rPr>
        <w:t xml:space="preserve">cluster in </w:t>
      </w:r>
      <w:r w:rsidR="000139E9" w:rsidRPr="00993C92">
        <w:rPr>
          <w:color w:val="000000" w:themeColor="text1"/>
        </w:rPr>
        <w:t>Fig. 2</w:t>
      </w:r>
      <w:r w:rsidR="00E2486C" w:rsidRPr="00993C92">
        <w:rPr>
          <w:color w:val="000000" w:themeColor="text1"/>
        </w:rPr>
        <w:t>e</w:t>
      </w:r>
      <w:r w:rsidR="00433019" w:rsidRPr="00993C92">
        <w:rPr>
          <w:color w:val="000000" w:themeColor="text1"/>
        </w:rPr>
        <w:t>)</w:t>
      </w:r>
      <w:r w:rsidR="003922EE" w:rsidRPr="00993C92">
        <w:rPr>
          <w:color w:val="000000" w:themeColor="text1"/>
        </w:rPr>
        <w:t xml:space="preserve"> with 3-methoxytyrosine (a </w:t>
      </w:r>
      <w:r w:rsidR="00F32289" w:rsidRPr="00993C92">
        <w:rPr>
          <w:color w:val="000000" w:themeColor="text1"/>
        </w:rPr>
        <w:t>variant</w:t>
      </w:r>
      <w:r w:rsidR="003922EE" w:rsidRPr="00993C92">
        <w:rPr>
          <w:color w:val="000000" w:themeColor="text1"/>
        </w:rPr>
        <w:t xml:space="preserve"> of the essential amino acid tyrosine). As legumes are rich in tyrosine, this finding may point towards an effect of high dietary intake of certain foods eliciting antibody responses against protein antigens thereof.</w:t>
      </w:r>
    </w:p>
    <w:p w14:paraId="03F138D5" w14:textId="3133EF40" w:rsidR="00EE106A" w:rsidRPr="00993C92" w:rsidRDefault="002E2108" w:rsidP="00B514BC">
      <w:pPr>
        <w:spacing w:after="0" w:line="257" w:lineRule="auto"/>
        <w:jc w:val="both"/>
        <w:rPr>
          <w:color w:val="000000" w:themeColor="text1"/>
        </w:rPr>
      </w:pPr>
      <w:r w:rsidRPr="00993C92">
        <w:rPr>
          <w:color w:val="000000" w:themeColor="text1"/>
        </w:rPr>
        <w:t>To further study such</w:t>
      </w:r>
      <w:r w:rsidR="003922EE" w:rsidRPr="00993C92">
        <w:rPr>
          <w:color w:val="000000" w:themeColor="text1"/>
        </w:rPr>
        <w:t xml:space="preserve"> potential</w:t>
      </w:r>
      <w:r w:rsidRPr="00993C92">
        <w:rPr>
          <w:color w:val="000000" w:themeColor="text1"/>
        </w:rPr>
        <w:t xml:space="preserve"> links between dietary intake and antibody responses, we </w:t>
      </w:r>
      <w:r w:rsidR="00F32289" w:rsidRPr="00993C92">
        <w:rPr>
          <w:color w:val="000000" w:themeColor="text1"/>
        </w:rPr>
        <w:t>next investigated</w:t>
      </w:r>
      <w:r w:rsidRPr="00993C92">
        <w:rPr>
          <w:color w:val="000000" w:themeColor="text1"/>
        </w:rPr>
        <w:t xml:space="preserve"> food frequency </w:t>
      </w:r>
      <w:r w:rsidR="00313AF7" w:rsidRPr="00993C92">
        <w:rPr>
          <w:color w:val="000000" w:themeColor="text1"/>
        </w:rPr>
        <w:t>questionnaires</w:t>
      </w:r>
      <w:r w:rsidRPr="00993C92">
        <w:rPr>
          <w:color w:val="000000" w:themeColor="text1"/>
        </w:rPr>
        <w:t xml:space="preserve"> (FFQs) available for our cohort </w:t>
      </w:r>
      <w:r w:rsidR="00282B43" w:rsidRPr="00993C92">
        <w:rPr>
          <w:noProof/>
          <w:color w:val="000000" w:themeColor="text1"/>
        </w:rPr>
        <w:t>(Zeevi et al., 2015)</w:t>
      </w:r>
      <w:r w:rsidRPr="00993C92">
        <w:rPr>
          <w:color w:val="000000" w:themeColor="text1"/>
        </w:rPr>
        <w:t>.</w:t>
      </w:r>
      <w:r w:rsidR="001F125E" w:rsidRPr="00993C92">
        <w:rPr>
          <w:color w:val="000000" w:themeColor="text1"/>
        </w:rPr>
        <w:t xml:space="preserve"> </w:t>
      </w:r>
      <w:r w:rsidR="00FB0FAD" w:rsidRPr="00993C92">
        <w:rPr>
          <w:color w:val="000000" w:themeColor="text1"/>
        </w:rPr>
        <w:t xml:space="preserve">The observed Ig responses against dietary antigens </w:t>
      </w:r>
      <w:r w:rsidR="0039332C" w:rsidRPr="00993C92">
        <w:rPr>
          <w:color w:val="000000" w:themeColor="text1"/>
        </w:rPr>
        <w:t>may</w:t>
      </w:r>
      <w:r w:rsidR="00A630A9" w:rsidRPr="00993C92">
        <w:rPr>
          <w:color w:val="000000" w:themeColor="text1"/>
        </w:rPr>
        <w:t xml:space="preserve"> </w:t>
      </w:r>
      <w:r w:rsidR="00FB0FAD" w:rsidRPr="00993C92">
        <w:rPr>
          <w:color w:val="000000" w:themeColor="text1"/>
        </w:rPr>
        <w:t>on the one hand be elicited by regular dietary intake of the respective foods. On the other hand, gastrointestinal infections could lead to increased translocation of food antigens (via decreased intestinal barrier function caused by damage to the mucosa) and the elevated immune status due</w:t>
      </w:r>
      <w:r w:rsidR="00EE106A" w:rsidRPr="00993C92">
        <w:rPr>
          <w:color w:val="000000" w:themeColor="text1"/>
        </w:rPr>
        <w:t xml:space="preserve"> to infection. Correlation of antibody responses against infectious diseases and food antigens did not show clear associations (</w:t>
      </w:r>
      <w:r w:rsidR="00460C0B" w:rsidRPr="00993C92">
        <w:rPr>
          <w:color w:val="000000" w:themeColor="text1"/>
        </w:rPr>
        <w:t xml:space="preserve">see </w:t>
      </w:r>
      <w:r w:rsidR="007D3885" w:rsidRPr="00993C92">
        <w:rPr>
          <w:color w:val="000000" w:themeColor="text1"/>
          <w:u w:val="single"/>
        </w:rPr>
        <w:t xml:space="preserve">Fig. </w:t>
      </w:r>
      <w:r w:rsidR="007D3885" w:rsidRPr="00993C92">
        <w:rPr>
          <w:noProof/>
          <w:color w:val="000000" w:themeColor="text1"/>
          <w:u w:val="single"/>
        </w:rPr>
        <w:t>3</w:t>
      </w:r>
      <w:r w:rsidR="00460C0B" w:rsidRPr="00993C92">
        <w:rPr>
          <w:color w:val="000000" w:themeColor="text1"/>
        </w:rPr>
        <w:t xml:space="preserve"> and the section “Limitations</w:t>
      </w:r>
      <w:r w:rsidR="0020400A" w:rsidRPr="00993C92">
        <w:rPr>
          <w:color w:val="000000" w:themeColor="text1"/>
        </w:rPr>
        <w:t xml:space="preserve"> of the study</w:t>
      </w:r>
      <w:r w:rsidR="00460C0B" w:rsidRPr="00993C92">
        <w:rPr>
          <w:color w:val="000000" w:themeColor="text1"/>
        </w:rPr>
        <w:t>”</w:t>
      </w:r>
      <w:r w:rsidR="00EE106A" w:rsidRPr="00993C92">
        <w:rPr>
          <w:color w:val="000000" w:themeColor="text1"/>
        </w:rPr>
        <w:t>)</w:t>
      </w:r>
      <w:r w:rsidR="00460C0B" w:rsidRPr="00993C92">
        <w:rPr>
          <w:color w:val="000000" w:themeColor="text1"/>
        </w:rPr>
        <w:t>.</w:t>
      </w:r>
    </w:p>
    <w:p w14:paraId="397FD640" w14:textId="5B719A9E" w:rsidR="0008612E" w:rsidRPr="00993C92" w:rsidRDefault="00EE106A" w:rsidP="00B514BC">
      <w:pPr>
        <w:spacing w:after="0" w:line="257" w:lineRule="auto"/>
        <w:jc w:val="both"/>
        <w:rPr>
          <w:color w:val="000000" w:themeColor="text1"/>
        </w:rPr>
      </w:pPr>
      <w:r w:rsidRPr="00993C92">
        <w:rPr>
          <w:color w:val="000000" w:themeColor="text1"/>
        </w:rPr>
        <w:t>However, w</w:t>
      </w:r>
      <w:r w:rsidR="001F125E" w:rsidRPr="00993C92">
        <w:rPr>
          <w:color w:val="000000" w:themeColor="text1"/>
        </w:rPr>
        <w:t>e found a significant association of dietary intake of egg products</w:t>
      </w:r>
      <w:r w:rsidRPr="00993C92">
        <w:rPr>
          <w:color w:val="000000" w:themeColor="text1"/>
        </w:rPr>
        <w:t xml:space="preserve"> (documented by FFQs)</w:t>
      </w:r>
      <w:r w:rsidR="001F125E" w:rsidRPr="00993C92">
        <w:rPr>
          <w:color w:val="000000" w:themeColor="text1"/>
        </w:rPr>
        <w:t xml:space="preserve"> with antibody responses against several peptides of egg proteins (ovomucoids, </w:t>
      </w:r>
      <w:r w:rsidR="00797351" w:rsidRPr="00993C92">
        <w:rPr>
          <w:color w:val="000000" w:themeColor="text1"/>
          <w:u w:val="single"/>
        </w:rPr>
        <w:t xml:space="preserve">Fig. </w:t>
      </w:r>
      <w:r w:rsidR="00797351" w:rsidRPr="00993C92">
        <w:rPr>
          <w:noProof/>
          <w:color w:val="000000" w:themeColor="text1"/>
          <w:u w:val="single"/>
        </w:rPr>
        <w:t>6</w:t>
      </w:r>
      <w:r w:rsidR="004E1E94" w:rsidRPr="00993C92">
        <w:rPr>
          <w:color w:val="000000" w:themeColor="text1"/>
        </w:rPr>
        <w:t>g</w:t>
      </w:r>
      <w:r w:rsidR="00B56AF6" w:rsidRPr="00993C92">
        <w:rPr>
          <w:color w:val="000000" w:themeColor="text1"/>
        </w:rPr>
        <w:t>,</w:t>
      </w:r>
      <w:r w:rsidR="00124A8F" w:rsidRPr="00993C92">
        <w:rPr>
          <w:color w:val="000000" w:themeColor="text1"/>
        </w:rPr>
        <w:t xml:space="preserve"> </w:t>
      </w:r>
      <w:r w:rsidR="002615A5" w:rsidRPr="00993C92">
        <w:rPr>
          <w:color w:val="000000" w:themeColor="text1"/>
        </w:rPr>
        <w:t xml:space="preserve">Table S </w:t>
      </w:r>
      <w:r w:rsidR="002615A5" w:rsidRPr="00993C92">
        <w:rPr>
          <w:noProof/>
          <w:color w:val="000000" w:themeColor="text1"/>
        </w:rPr>
        <w:t>4</w:t>
      </w:r>
      <w:r w:rsidR="001F125E" w:rsidRPr="00993C92">
        <w:rPr>
          <w:color w:val="000000" w:themeColor="text1"/>
        </w:rPr>
        <w:t>)</w:t>
      </w:r>
      <w:r w:rsidR="00504E91" w:rsidRPr="00993C92">
        <w:rPr>
          <w:color w:val="000000" w:themeColor="text1"/>
        </w:rPr>
        <w:t>.</w:t>
      </w:r>
      <w:r w:rsidR="00B7554E" w:rsidRPr="00993C92">
        <w:rPr>
          <w:color w:val="000000" w:themeColor="text1"/>
        </w:rPr>
        <w:t xml:space="preserve"> </w:t>
      </w:r>
      <w:r w:rsidR="0020400A" w:rsidRPr="00993C92">
        <w:rPr>
          <w:color w:val="000000" w:themeColor="text1"/>
        </w:rPr>
        <w:t>A</w:t>
      </w:r>
      <w:r w:rsidR="004E1E94" w:rsidRPr="00993C92">
        <w:rPr>
          <w:color w:val="000000" w:themeColor="text1"/>
        </w:rPr>
        <w:t>ll six peptides</w:t>
      </w:r>
      <w:r w:rsidR="005445C4" w:rsidRPr="00993C92">
        <w:rPr>
          <w:color w:val="000000" w:themeColor="text1"/>
        </w:rPr>
        <w:t>,</w:t>
      </w:r>
      <w:r w:rsidR="004E1E94" w:rsidRPr="00993C92">
        <w:rPr>
          <w:color w:val="000000" w:themeColor="text1"/>
        </w:rPr>
        <w:t xml:space="preserve"> that were significantly more frequently bound by antibodies in individuals consuming egg products, were stemming from egg ovomucoid proteins (list in </w:t>
      </w:r>
      <w:r w:rsidR="009E4163" w:rsidRPr="00993C92">
        <w:rPr>
          <w:color w:val="000000" w:themeColor="text1"/>
        </w:rPr>
        <w:t xml:space="preserve">Table S </w:t>
      </w:r>
      <w:r w:rsidR="009E4163" w:rsidRPr="00993C92">
        <w:rPr>
          <w:noProof/>
          <w:color w:val="000000" w:themeColor="text1"/>
        </w:rPr>
        <w:t>4</w:t>
      </w:r>
      <w:r w:rsidR="004E1E94" w:rsidRPr="00993C92">
        <w:rPr>
          <w:color w:val="000000" w:themeColor="text1"/>
        </w:rPr>
        <w:t xml:space="preserve">). Antibody responses against a peptide from celery were significantly more frequent in </w:t>
      </w:r>
      <w:r w:rsidR="008D119E" w:rsidRPr="00993C92">
        <w:rPr>
          <w:color w:val="000000" w:themeColor="text1"/>
        </w:rPr>
        <w:t>individuals,</w:t>
      </w:r>
      <w:r w:rsidR="005445C4" w:rsidRPr="00993C92">
        <w:rPr>
          <w:color w:val="000000" w:themeColor="text1"/>
        </w:rPr>
        <w:t xml:space="preserve"> who did</w:t>
      </w:r>
      <w:r w:rsidR="008D119E" w:rsidRPr="00993C92">
        <w:rPr>
          <w:color w:val="000000" w:themeColor="text1"/>
        </w:rPr>
        <w:t xml:space="preserve"> not consum</w:t>
      </w:r>
      <w:r w:rsidR="005445C4" w:rsidRPr="00993C92">
        <w:rPr>
          <w:color w:val="000000" w:themeColor="text1"/>
        </w:rPr>
        <w:t>e</w:t>
      </w:r>
      <w:r w:rsidR="008D119E" w:rsidRPr="00993C92">
        <w:rPr>
          <w:color w:val="000000" w:themeColor="text1"/>
        </w:rPr>
        <w:t xml:space="preserve"> egg products (potentially owing to a higher likelihood </w:t>
      </w:r>
      <w:r w:rsidR="005445C4" w:rsidRPr="00993C92">
        <w:rPr>
          <w:color w:val="000000" w:themeColor="text1"/>
        </w:rPr>
        <w:t xml:space="preserve">of </w:t>
      </w:r>
      <w:r w:rsidR="008D119E" w:rsidRPr="00993C92">
        <w:rPr>
          <w:color w:val="000000" w:themeColor="text1"/>
        </w:rPr>
        <w:t>developing plant protein directed Ig responses when consuming animal proteins less frequently).</w:t>
      </w:r>
      <w:r w:rsidR="004E1E94" w:rsidRPr="00993C92">
        <w:rPr>
          <w:color w:val="000000" w:themeColor="text1"/>
        </w:rPr>
        <w:t xml:space="preserve"> </w:t>
      </w:r>
      <w:r w:rsidR="00B7554E" w:rsidRPr="00993C92">
        <w:rPr>
          <w:color w:val="000000" w:themeColor="text1"/>
        </w:rPr>
        <w:t xml:space="preserve">Dietary intake of these egg products could also be predicted from the Ig epitope repertories (AUC=0.65, </w:t>
      </w:r>
      <w:r w:rsidR="00797351" w:rsidRPr="00993C92">
        <w:rPr>
          <w:color w:val="000000" w:themeColor="text1"/>
          <w:u w:val="single"/>
        </w:rPr>
        <w:t xml:space="preserve">Fig. </w:t>
      </w:r>
      <w:r w:rsidR="00797351" w:rsidRPr="00993C92">
        <w:rPr>
          <w:noProof/>
          <w:color w:val="000000" w:themeColor="text1"/>
          <w:u w:val="single"/>
        </w:rPr>
        <w:t>6</w:t>
      </w:r>
      <w:r w:rsidR="00C01CD7" w:rsidRPr="00993C92">
        <w:rPr>
          <w:color w:val="000000" w:themeColor="text1"/>
        </w:rPr>
        <w:t>h</w:t>
      </w:r>
      <w:r w:rsidR="00B7554E" w:rsidRPr="00993C92">
        <w:rPr>
          <w:color w:val="000000" w:themeColor="text1"/>
        </w:rPr>
        <w:t>) with several peptides of egg proteins contributing to the outcome (</w:t>
      </w:r>
      <w:r w:rsidR="00797351" w:rsidRPr="00993C92">
        <w:rPr>
          <w:color w:val="000000" w:themeColor="text1"/>
          <w:u w:val="single"/>
        </w:rPr>
        <w:t xml:space="preserve">Fig. </w:t>
      </w:r>
      <w:r w:rsidR="00797351" w:rsidRPr="00993C92">
        <w:rPr>
          <w:noProof/>
          <w:color w:val="000000" w:themeColor="text1"/>
          <w:u w:val="single"/>
        </w:rPr>
        <w:t>6</w:t>
      </w:r>
      <w:r w:rsidR="00C01CD7" w:rsidRPr="00993C92">
        <w:rPr>
          <w:color w:val="000000" w:themeColor="text1"/>
        </w:rPr>
        <w:t>i</w:t>
      </w:r>
      <w:r w:rsidR="00B7554E" w:rsidRPr="00993C92">
        <w:rPr>
          <w:color w:val="000000" w:themeColor="text1"/>
        </w:rPr>
        <w:t>).</w:t>
      </w:r>
      <w:r w:rsidR="00F925F5" w:rsidRPr="00993C92">
        <w:rPr>
          <w:color w:val="000000" w:themeColor="text1"/>
        </w:rPr>
        <w:t xml:space="preserve"> </w:t>
      </w:r>
      <w:r w:rsidR="00504E91" w:rsidRPr="00993C92">
        <w:rPr>
          <w:color w:val="000000" w:themeColor="text1"/>
        </w:rPr>
        <w:t xml:space="preserve">Overall, these results suggest that consumption of certain food items </w:t>
      </w:r>
      <w:r w:rsidR="00B7554E" w:rsidRPr="00993C92">
        <w:rPr>
          <w:color w:val="000000" w:themeColor="text1"/>
        </w:rPr>
        <w:t>leads to elevated systemic antibody responses against proteins of the respective foods</w:t>
      </w:r>
      <w:r w:rsidR="00460C0B" w:rsidRPr="00993C92">
        <w:rPr>
          <w:color w:val="000000" w:themeColor="text1"/>
        </w:rPr>
        <w:t xml:space="preserve"> (although our study reports only an association and not a causal link, see below)</w:t>
      </w:r>
      <w:r w:rsidR="00B7554E" w:rsidRPr="00993C92">
        <w:rPr>
          <w:color w:val="000000" w:themeColor="text1"/>
        </w:rPr>
        <w:t>.</w:t>
      </w:r>
      <w:bookmarkEnd w:id="11"/>
    </w:p>
    <w:p w14:paraId="7751B76A" w14:textId="261F96AF" w:rsidR="0008612E" w:rsidRPr="00993C92" w:rsidRDefault="0008612E" w:rsidP="0008612E">
      <w:pPr>
        <w:pStyle w:val="Heading1"/>
        <w:rPr>
          <w:color w:val="000000" w:themeColor="text1"/>
        </w:rPr>
      </w:pPr>
      <w:r w:rsidRPr="00993C92">
        <w:rPr>
          <w:color w:val="000000" w:themeColor="text1"/>
        </w:rPr>
        <w:t>Discussion</w:t>
      </w:r>
    </w:p>
    <w:p w14:paraId="6D766D03" w14:textId="57F49921" w:rsidR="000F3FDC" w:rsidRPr="00993C92" w:rsidRDefault="008C04FC" w:rsidP="00D96DB8">
      <w:pPr>
        <w:spacing w:after="0" w:line="257" w:lineRule="auto"/>
        <w:jc w:val="both"/>
        <w:rPr>
          <w:color w:val="000000" w:themeColor="text1"/>
        </w:rPr>
      </w:pPr>
      <w:r w:rsidRPr="00993C92">
        <w:rPr>
          <w:color w:val="000000" w:themeColor="text1"/>
        </w:rPr>
        <w:t xml:space="preserve">Given the substantial amounts of food </w:t>
      </w:r>
      <w:r w:rsidR="00CE77A5" w:rsidRPr="00993C92">
        <w:rPr>
          <w:color w:val="000000" w:themeColor="text1"/>
        </w:rPr>
        <w:t xml:space="preserve">regularly </w:t>
      </w:r>
      <w:r w:rsidRPr="00993C92">
        <w:rPr>
          <w:color w:val="000000" w:themeColor="text1"/>
        </w:rPr>
        <w:t>ingested by humans (estimat</w:t>
      </w:r>
      <w:r w:rsidR="00DC5930" w:rsidRPr="00993C92">
        <w:rPr>
          <w:color w:val="000000" w:themeColor="text1"/>
        </w:rPr>
        <w:t>e</w:t>
      </w:r>
      <w:r w:rsidR="00CE77A5" w:rsidRPr="00993C92">
        <w:rPr>
          <w:color w:val="000000" w:themeColor="text1"/>
        </w:rPr>
        <w:t>d</w:t>
      </w:r>
      <w:r w:rsidR="00DC5930" w:rsidRPr="00993C92">
        <w:rPr>
          <w:color w:val="000000" w:themeColor="text1"/>
        </w:rPr>
        <w:t xml:space="preserve"> for an adult </w:t>
      </w:r>
      <w:r w:rsidR="00CE77A5" w:rsidRPr="00993C92">
        <w:rPr>
          <w:color w:val="000000" w:themeColor="text1"/>
        </w:rPr>
        <w:t>at</w:t>
      </w:r>
      <w:r w:rsidRPr="00993C92">
        <w:rPr>
          <w:color w:val="000000" w:themeColor="text1"/>
        </w:rPr>
        <w:t xml:space="preserve"> </w:t>
      </w:r>
      <w:r w:rsidR="00CE77A5" w:rsidRPr="00993C92">
        <w:rPr>
          <w:color w:val="000000" w:themeColor="text1"/>
        </w:rPr>
        <w:t xml:space="preserve">two </w:t>
      </w:r>
      <w:r w:rsidRPr="00993C92">
        <w:rPr>
          <w:color w:val="000000" w:themeColor="text1"/>
        </w:rPr>
        <w:t>k</w:t>
      </w:r>
      <w:r w:rsidR="00CE77A5" w:rsidRPr="00993C92">
        <w:rPr>
          <w:color w:val="000000" w:themeColor="text1"/>
        </w:rPr>
        <w:t>ilograms</w:t>
      </w:r>
      <w:r w:rsidRPr="00993C92">
        <w:rPr>
          <w:color w:val="000000" w:themeColor="text1"/>
        </w:rPr>
        <w:t xml:space="preserve"> per day</w:t>
      </w:r>
      <w:r w:rsidR="00DC5930" w:rsidRPr="00993C92">
        <w:rPr>
          <w:color w:val="000000" w:themeColor="text1"/>
        </w:rPr>
        <w:t xml:space="preserve"> </w:t>
      </w:r>
      <w:r w:rsidR="00282B43" w:rsidRPr="00993C92">
        <w:rPr>
          <w:noProof/>
          <w:color w:val="000000" w:themeColor="text1"/>
        </w:rPr>
        <w:t>(</w:t>
      </w:r>
      <w:r w:rsidR="00BE093A" w:rsidRPr="00993C92">
        <w:rPr>
          <w:noProof/>
          <w:color w:val="000000" w:themeColor="text1"/>
        </w:rPr>
        <w:t xml:space="preserve">USDA ERS, </w:t>
      </w:r>
      <w:r w:rsidR="006A7147" w:rsidRPr="00993C92">
        <w:rPr>
          <w:noProof/>
          <w:color w:val="000000" w:themeColor="text1"/>
        </w:rPr>
        <w:t>2022</w:t>
      </w:r>
      <w:r w:rsidR="00282B43" w:rsidRPr="00993C92">
        <w:rPr>
          <w:noProof/>
          <w:color w:val="000000" w:themeColor="text1"/>
        </w:rPr>
        <w:t>)</w:t>
      </w:r>
      <w:r w:rsidRPr="00993C92">
        <w:rPr>
          <w:color w:val="000000" w:themeColor="text1"/>
        </w:rPr>
        <w:t xml:space="preserve">), and the </w:t>
      </w:r>
      <w:r w:rsidR="001D1615" w:rsidRPr="00993C92">
        <w:rPr>
          <w:color w:val="000000" w:themeColor="text1"/>
        </w:rPr>
        <w:t xml:space="preserve">high content of potential protein, glycan, and lipid antigens, a variety of immunomodulatory effects of diet have been </w:t>
      </w:r>
      <w:r w:rsidR="002F1F43" w:rsidRPr="00993C92">
        <w:rPr>
          <w:color w:val="000000" w:themeColor="text1"/>
        </w:rPr>
        <w:t>discussed</w:t>
      </w:r>
      <w:r w:rsidR="001D1615" w:rsidRPr="00993C92">
        <w:rPr>
          <w:color w:val="000000" w:themeColor="text1"/>
        </w:rPr>
        <w:t xml:space="preserve"> </w:t>
      </w:r>
      <w:r w:rsidR="00282B43" w:rsidRPr="00993C92">
        <w:rPr>
          <w:noProof/>
          <w:color w:val="000000" w:themeColor="text1"/>
        </w:rPr>
        <w:t>(Childs et al., 2019; Wu et al., 2018)</w:t>
      </w:r>
      <w:r w:rsidR="001D1615" w:rsidRPr="00993C92">
        <w:rPr>
          <w:color w:val="000000" w:themeColor="text1"/>
        </w:rPr>
        <w:t xml:space="preserve">. </w:t>
      </w:r>
      <w:r w:rsidRPr="00993C92">
        <w:rPr>
          <w:color w:val="000000" w:themeColor="text1"/>
        </w:rPr>
        <w:t xml:space="preserve">While IgG responses against foods </w:t>
      </w:r>
      <w:r w:rsidR="001D1615" w:rsidRPr="00993C92">
        <w:rPr>
          <w:color w:val="000000" w:themeColor="text1"/>
        </w:rPr>
        <w:t>have previously been reported, the</w:t>
      </w:r>
      <w:r w:rsidR="00310378" w:rsidRPr="00993C92">
        <w:rPr>
          <w:color w:val="000000" w:themeColor="text1"/>
        </w:rPr>
        <w:t>se</w:t>
      </w:r>
      <w:r w:rsidR="001D1615" w:rsidRPr="00993C92">
        <w:rPr>
          <w:color w:val="000000" w:themeColor="text1"/>
        </w:rPr>
        <w:t xml:space="preserve"> stud</w:t>
      </w:r>
      <w:r w:rsidR="00310378" w:rsidRPr="00993C92">
        <w:rPr>
          <w:color w:val="000000" w:themeColor="text1"/>
        </w:rPr>
        <w:t>ies</w:t>
      </w:r>
      <w:r w:rsidR="001D1615" w:rsidRPr="00993C92">
        <w:rPr>
          <w:color w:val="000000" w:themeColor="text1"/>
        </w:rPr>
        <w:t xml:space="preserve"> have typically focused on small sets of dozens of antigens </w:t>
      </w:r>
      <w:r w:rsidR="00282B43" w:rsidRPr="00993C92">
        <w:rPr>
          <w:noProof/>
          <w:color w:val="000000" w:themeColor="text1"/>
        </w:rPr>
        <w:t>(Gocki and Bartuzi, 2016; Hamilton, 2009; Husby et al., 1985; Stapel et al., 2008)</w:t>
      </w:r>
      <w:r w:rsidR="001D1615" w:rsidRPr="00993C92">
        <w:rPr>
          <w:color w:val="000000" w:themeColor="text1"/>
        </w:rPr>
        <w:t xml:space="preserve"> and small cohorts of a few dozen individuals.</w:t>
      </w:r>
      <w:r w:rsidR="000F3FDC" w:rsidRPr="00993C92">
        <w:rPr>
          <w:color w:val="000000" w:themeColor="text1"/>
        </w:rPr>
        <w:t xml:space="preserve"> </w:t>
      </w:r>
      <w:r w:rsidR="002F1F43" w:rsidRPr="00993C92">
        <w:rPr>
          <w:color w:val="000000" w:themeColor="text1"/>
        </w:rPr>
        <w:t>Here, w</w:t>
      </w:r>
      <w:r w:rsidR="001D1615" w:rsidRPr="00993C92">
        <w:rPr>
          <w:color w:val="000000" w:themeColor="text1"/>
        </w:rPr>
        <w:t xml:space="preserve">e have performed the </w:t>
      </w:r>
      <w:r w:rsidR="00313931" w:rsidRPr="00993C92">
        <w:rPr>
          <w:color w:val="000000" w:themeColor="text1"/>
        </w:rPr>
        <w:t xml:space="preserve">broadest study </w:t>
      </w:r>
      <w:r w:rsidR="004B076F" w:rsidRPr="00993C92">
        <w:rPr>
          <w:color w:val="000000" w:themeColor="text1"/>
        </w:rPr>
        <w:t xml:space="preserve">to date </w:t>
      </w:r>
      <w:r w:rsidR="00313931" w:rsidRPr="00993C92">
        <w:rPr>
          <w:color w:val="000000" w:themeColor="text1"/>
        </w:rPr>
        <w:t xml:space="preserve">focused on </w:t>
      </w:r>
      <w:r w:rsidR="00D96DB8" w:rsidRPr="00993C92">
        <w:rPr>
          <w:color w:val="000000" w:themeColor="text1"/>
        </w:rPr>
        <w:t xml:space="preserve">systemic </w:t>
      </w:r>
      <w:r w:rsidR="00313931" w:rsidRPr="00993C92">
        <w:rPr>
          <w:color w:val="000000" w:themeColor="text1"/>
        </w:rPr>
        <w:t>food directed immune responses</w:t>
      </w:r>
      <w:r w:rsidR="001112AE" w:rsidRPr="00993C92">
        <w:rPr>
          <w:color w:val="000000" w:themeColor="text1"/>
        </w:rPr>
        <w:t xml:space="preserve">: Our cohort of 1,003 </w:t>
      </w:r>
      <w:r w:rsidR="000F3FDC" w:rsidRPr="00993C92">
        <w:rPr>
          <w:color w:val="000000" w:themeColor="text1"/>
        </w:rPr>
        <w:t xml:space="preserve">individuals </w:t>
      </w:r>
      <w:r w:rsidR="001D1615" w:rsidRPr="00993C92">
        <w:rPr>
          <w:color w:val="000000" w:themeColor="text1"/>
        </w:rPr>
        <w:t>exceed</w:t>
      </w:r>
      <w:r w:rsidR="000F3FDC" w:rsidRPr="00993C92">
        <w:rPr>
          <w:color w:val="000000" w:themeColor="text1"/>
        </w:rPr>
        <w:t>ed</w:t>
      </w:r>
      <w:r w:rsidR="001D1615" w:rsidRPr="00993C92">
        <w:rPr>
          <w:color w:val="000000" w:themeColor="text1"/>
        </w:rPr>
        <w:t xml:space="preserve"> </w:t>
      </w:r>
      <w:r w:rsidR="000F3FDC" w:rsidRPr="00993C92">
        <w:rPr>
          <w:color w:val="000000" w:themeColor="text1"/>
        </w:rPr>
        <w:t>the size of previous studies</w:t>
      </w:r>
      <w:r w:rsidR="001D1615" w:rsidRPr="00993C92">
        <w:rPr>
          <w:color w:val="000000" w:themeColor="text1"/>
        </w:rPr>
        <w:t xml:space="preserve"> </w:t>
      </w:r>
      <w:r w:rsidR="00282B43" w:rsidRPr="00993C92">
        <w:rPr>
          <w:noProof/>
          <w:color w:val="000000" w:themeColor="text1"/>
        </w:rPr>
        <w:t>(Chen et al., 2021; Monaco et al., 2021)</w:t>
      </w:r>
      <w:r w:rsidR="00313931" w:rsidRPr="00993C92">
        <w:rPr>
          <w:color w:val="000000" w:themeColor="text1"/>
        </w:rPr>
        <w:t xml:space="preserve"> </w:t>
      </w:r>
      <w:r w:rsidR="001D1615" w:rsidRPr="00993C92">
        <w:rPr>
          <w:color w:val="000000" w:themeColor="text1"/>
        </w:rPr>
        <w:t>by an order of magnitude</w:t>
      </w:r>
      <w:r w:rsidR="00D96DB8" w:rsidRPr="00993C92">
        <w:rPr>
          <w:color w:val="000000" w:themeColor="text1"/>
        </w:rPr>
        <w:t xml:space="preserve">, </w:t>
      </w:r>
      <w:r w:rsidR="002F1F43" w:rsidRPr="00993C92">
        <w:rPr>
          <w:color w:val="000000" w:themeColor="text1"/>
        </w:rPr>
        <w:t xml:space="preserve">and </w:t>
      </w:r>
      <w:r w:rsidR="00347033" w:rsidRPr="00993C92">
        <w:rPr>
          <w:color w:val="000000" w:themeColor="text1"/>
        </w:rPr>
        <w:t xml:space="preserve">was combined with a </w:t>
      </w:r>
      <w:r w:rsidR="000F3FDC" w:rsidRPr="00993C92">
        <w:rPr>
          <w:color w:val="000000" w:themeColor="text1"/>
        </w:rPr>
        <w:t xml:space="preserve">comprehensive </w:t>
      </w:r>
      <w:r w:rsidR="00D96DB8" w:rsidRPr="00993C92">
        <w:rPr>
          <w:color w:val="000000" w:themeColor="text1"/>
        </w:rPr>
        <w:t xml:space="preserve">library of food and environmental antigens (encompassing </w:t>
      </w:r>
      <w:r w:rsidR="002F1F43" w:rsidRPr="00993C92">
        <w:rPr>
          <w:color w:val="000000" w:themeColor="text1"/>
        </w:rPr>
        <w:t>five complete</w:t>
      </w:r>
      <w:r w:rsidR="00D96DB8" w:rsidRPr="00993C92">
        <w:rPr>
          <w:color w:val="000000" w:themeColor="text1"/>
        </w:rPr>
        <w:t xml:space="preserve"> allergen databases, as well as the IEDB).</w:t>
      </w:r>
    </w:p>
    <w:p w14:paraId="133593A6" w14:textId="3F5F9901" w:rsidR="004A5A86" w:rsidRPr="00993C92" w:rsidRDefault="00CE77A5" w:rsidP="007567C3">
      <w:pPr>
        <w:spacing w:after="0" w:line="257" w:lineRule="auto"/>
        <w:jc w:val="both"/>
        <w:rPr>
          <w:color w:val="000000" w:themeColor="text1"/>
        </w:rPr>
      </w:pPr>
      <w:r w:rsidRPr="00993C92">
        <w:rPr>
          <w:color w:val="000000" w:themeColor="text1"/>
        </w:rPr>
        <w:t>We found a</w:t>
      </w:r>
      <w:r w:rsidR="00D96DB8" w:rsidRPr="00993C92">
        <w:rPr>
          <w:color w:val="000000" w:themeColor="text1"/>
        </w:rPr>
        <w:t xml:space="preserve"> wide variety of food antigens from </w:t>
      </w:r>
      <w:r w:rsidR="00C812D1" w:rsidRPr="00993C92">
        <w:rPr>
          <w:color w:val="000000" w:themeColor="text1"/>
        </w:rPr>
        <w:t>animal as well as plant sources</w:t>
      </w:r>
      <w:r w:rsidR="002F1F43" w:rsidRPr="00993C92">
        <w:rPr>
          <w:color w:val="000000" w:themeColor="text1"/>
        </w:rPr>
        <w:t xml:space="preserve"> </w:t>
      </w:r>
      <w:r w:rsidR="00D96DB8" w:rsidRPr="00993C92">
        <w:rPr>
          <w:color w:val="000000" w:themeColor="text1"/>
        </w:rPr>
        <w:t>elicit</w:t>
      </w:r>
      <w:r w:rsidRPr="00993C92">
        <w:rPr>
          <w:color w:val="000000" w:themeColor="text1"/>
        </w:rPr>
        <w:t>ing</w:t>
      </w:r>
      <w:r w:rsidR="00D96DB8" w:rsidRPr="00993C92">
        <w:rPr>
          <w:color w:val="000000" w:themeColor="text1"/>
        </w:rPr>
        <w:t xml:space="preserve"> antibody responses in </w:t>
      </w:r>
      <w:r w:rsidRPr="00993C92">
        <w:rPr>
          <w:color w:val="000000" w:themeColor="text1"/>
        </w:rPr>
        <w:t xml:space="preserve">the </w:t>
      </w:r>
      <w:r w:rsidR="00B35B2A" w:rsidRPr="00993C92">
        <w:rPr>
          <w:color w:val="000000" w:themeColor="text1"/>
        </w:rPr>
        <w:t xml:space="preserve">serum </w:t>
      </w:r>
      <w:r w:rsidR="002F1F43" w:rsidRPr="00993C92">
        <w:rPr>
          <w:color w:val="000000" w:themeColor="text1"/>
        </w:rPr>
        <w:t xml:space="preserve">of </w:t>
      </w:r>
      <w:r w:rsidR="00E0726B" w:rsidRPr="00993C92">
        <w:rPr>
          <w:color w:val="000000" w:themeColor="text1"/>
        </w:rPr>
        <w:t>our population scale cohort</w:t>
      </w:r>
      <w:r w:rsidR="00C812D1" w:rsidRPr="00993C92">
        <w:rPr>
          <w:color w:val="000000" w:themeColor="text1"/>
        </w:rPr>
        <w:t xml:space="preserve">. Mechanistically, it has been suggested that such Ig responses are caused by incompletely digested proteins penetrating the gut </w:t>
      </w:r>
      <w:r w:rsidR="00DF0BDA" w:rsidRPr="00993C92">
        <w:rPr>
          <w:color w:val="000000" w:themeColor="text1"/>
        </w:rPr>
        <w:t>epithelium</w:t>
      </w:r>
      <w:r w:rsidR="002F1F43" w:rsidRPr="00993C92">
        <w:rPr>
          <w:color w:val="000000" w:themeColor="text1"/>
        </w:rPr>
        <w:t xml:space="preserve"> and capture of antigens by Peyer’s patch M cells, dendritic cells, or enterocytes</w:t>
      </w:r>
      <w:r w:rsidR="00C812D1" w:rsidRPr="00993C92">
        <w:rPr>
          <w:color w:val="000000" w:themeColor="text1"/>
        </w:rPr>
        <w:t xml:space="preserve"> </w:t>
      </w:r>
      <w:r w:rsidR="00282B43" w:rsidRPr="00993C92">
        <w:rPr>
          <w:noProof/>
          <w:color w:val="000000" w:themeColor="text1"/>
        </w:rPr>
        <w:t>(Gocki and Bartuzi, 2016)</w:t>
      </w:r>
      <w:r w:rsidR="002F1F43" w:rsidRPr="00993C92">
        <w:rPr>
          <w:color w:val="000000" w:themeColor="text1"/>
        </w:rPr>
        <w:t>.</w:t>
      </w:r>
      <w:r w:rsidR="000F3FDC" w:rsidRPr="00993C92">
        <w:rPr>
          <w:color w:val="000000" w:themeColor="text1"/>
        </w:rPr>
        <w:t xml:space="preserve"> </w:t>
      </w:r>
      <w:r w:rsidR="00694EA2" w:rsidRPr="00993C92">
        <w:rPr>
          <w:color w:val="000000" w:themeColor="text1"/>
        </w:rPr>
        <w:lastRenderedPageBreak/>
        <w:t>The applied PhIP-Seq</w:t>
      </w:r>
      <w:r w:rsidR="00474FC1" w:rsidRPr="00993C92">
        <w:rPr>
          <w:color w:val="000000" w:themeColor="text1"/>
        </w:rPr>
        <w:t xml:space="preserve"> workflow </w:t>
      </w:r>
      <w:r w:rsidR="00694EA2" w:rsidRPr="00993C92">
        <w:rPr>
          <w:color w:val="000000" w:themeColor="text1"/>
        </w:rPr>
        <w:t xml:space="preserve">allowed to pinpoint the exact epitopes of food (and environmental) proteins targeted by antibodies, pointing towards substantial cross-reactivity (for example between </w:t>
      </w:r>
      <w:r w:rsidR="001112AE" w:rsidRPr="00993C92">
        <w:rPr>
          <w:color w:val="000000" w:themeColor="text1"/>
        </w:rPr>
        <w:t>the legumes lentils and peanuts or poultry such as turkey and duck).</w:t>
      </w:r>
      <w:r w:rsidR="004A5A86" w:rsidRPr="00993C92">
        <w:rPr>
          <w:color w:val="000000" w:themeColor="text1"/>
        </w:rPr>
        <w:t xml:space="preserve"> </w:t>
      </w:r>
      <w:r w:rsidR="001112AE" w:rsidRPr="00993C92">
        <w:rPr>
          <w:color w:val="000000" w:themeColor="text1"/>
        </w:rPr>
        <w:t>Such epitope</w:t>
      </w:r>
      <w:r w:rsidR="000F3FDC" w:rsidRPr="00993C92">
        <w:rPr>
          <w:color w:val="000000" w:themeColor="text1"/>
        </w:rPr>
        <w:t xml:space="preserve"> resolved</w:t>
      </w:r>
      <w:r w:rsidR="001112AE" w:rsidRPr="00993C92">
        <w:rPr>
          <w:color w:val="000000" w:themeColor="text1"/>
        </w:rPr>
        <w:t xml:space="preserve"> analys</w:t>
      </w:r>
      <w:r w:rsidR="000F3FDC" w:rsidRPr="00993C92">
        <w:rPr>
          <w:color w:val="000000" w:themeColor="text1"/>
        </w:rPr>
        <w:t>e</w:t>
      </w:r>
      <w:r w:rsidR="001112AE" w:rsidRPr="00993C92">
        <w:rPr>
          <w:color w:val="000000" w:themeColor="text1"/>
        </w:rPr>
        <w:t xml:space="preserve">s </w:t>
      </w:r>
      <w:r w:rsidR="00310378" w:rsidRPr="00993C92">
        <w:rPr>
          <w:color w:val="000000" w:themeColor="text1"/>
        </w:rPr>
        <w:t>may also</w:t>
      </w:r>
      <w:r w:rsidR="001112AE" w:rsidRPr="00993C92">
        <w:rPr>
          <w:color w:val="000000" w:themeColor="text1"/>
        </w:rPr>
        <w:t xml:space="preserve"> </w:t>
      </w:r>
      <w:r w:rsidR="00AE6721" w:rsidRPr="00993C92">
        <w:rPr>
          <w:color w:val="000000" w:themeColor="text1"/>
        </w:rPr>
        <w:t xml:space="preserve">have </w:t>
      </w:r>
      <w:r w:rsidR="001112AE" w:rsidRPr="00993C92">
        <w:rPr>
          <w:color w:val="000000" w:themeColor="text1"/>
        </w:rPr>
        <w:t xml:space="preserve">implications for the diagnosis of allergies, as IgE responses developed against one antigen may result in symptoms upon digestion of </w:t>
      </w:r>
      <w:r w:rsidR="00B66B47" w:rsidRPr="00993C92">
        <w:rPr>
          <w:color w:val="000000" w:themeColor="text1"/>
        </w:rPr>
        <w:t xml:space="preserve">rather </w:t>
      </w:r>
      <w:r w:rsidR="001112AE" w:rsidRPr="00993C92">
        <w:rPr>
          <w:color w:val="000000" w:themeColor="text1"/>
        </w:rPr>
        <w:t>distantly related plant or animal species.</w:t>
      </w:r>
    </w:p>
    <w:p w14:paraId="21B19222" w14:textId="43A4A75F" w:rsidR="004A5A86" w:rsidRPr="00993C92" w:rsidRDefault="001112AE" w:rsidP="007567C3">
      <w:pPr>
        <w:spacing w:after="0" w:line="257" w:lineRule="auto"/>
        <w:jc w:val="both"/>
        <w:rPr>
          <w:color w:val="000000" w:themeColor="text1"/>
        </w:rPr>
      </w:pPr>
      <w:bookmarkStart w:id="12" w:name="_Hlk112572226"/>
      <w:r w:rsidRPr="00993C92">
        <w:rPr>
          <w:color w:val="000000" w:themeColor="text1"/>
        </w:rPr>
        <w:t>Our cohort</w:t>
      </w:r>
      <w:r w:rsidR="000F3FDC" w:rsidRPr="00993C92">
        <w:rPr>
          <w:color w:val="000000" w:themeColor="text1"/>
        </w:rPr>
        <w:t xml:space="preserve"> consisted of</w:t>
      </w:r>
      <w:r w:rsidR="00E0726B" w:rsidRPr="00993C92">
        <w:rPr>
          <w:color w:val="000000" w:themeColor="text1"/>
        </w:rPr>
        <w:t xml:space="preserve"> a</w:t>
      </w:r>
      <w:r w:rsidR="00F76EB4" w:rsidRPr="00993C92">
        <w:rPr>
          <w:color w:val="000000" w:themeColor="text1"/>
        </w:rPr>
        <w:t xml:space="preserve">n average representation of the adult Israeli population </w:t>
      </w:r>
      <w:r w:rsidR="008F74A8" w:rsidRPr="00993C92">
        <w:rPr>
          <w:color w:val="000000" w:themeColor="text1"/>
        </w:rPr>
        <w:t xml:space="preserve">with </w:t>
      </w:r>
      <w:r w:rsidR="00F76EB4" w:rsidRPr="00993C92">
        <w:rPr>
          <w:color w:val="000000" w:themeColor="text1"/>
        </w:rPr>
        <w:t xml:space="preserve">allergies against environmental or food antigens </w:t>
      </w:r>
      <w:r w:rsidR="008F74A8" w:rsidRPr="00993C92">
        <w:rPr>
          <w:color w:val="000000" w:themeColor="text1"/>
        </w:rPr>
        <w:t xml:space="preserve">not being </w:t>
      </w:r>
      <w:r w:rsidR="00F76EB4" w:rsidRPr="00993C92">
        <w:rPr>
          <w:color w:val="000000" w:themeColor="text1"/>
        </w:rPr>
        <w:t xml:space="preserve">exclusion criteria. However, </w:t>
      </w:r>
      <w:r w:rsidR="000F3FDC" w:rsidRPr="00993C92">
        <w:rPr>
          <w:color w:val="000000" w:themeColor="text1"/>
        </w:rPr>
        <w:t xml:space="preserve">chronic gastrointestinal symptoms </w:t>
      </w:r>
      <w:r w:rsidR="00273D4B" w:rsidRPr="00993C92">
        <w:rPr>
          <w:color w:val="000000" w:themeColor="text1"/>
        </w:rPr>
        <w:t>we</w:t>
      </w:r>
      <w:r w:rsidR="008F74A8" w:rsidRPr="00993C92">
        <w:rPr>
          <w:color w:val="000000" w:themeColor="text1"/>
        </w:rPr>
        <w:t xml:space="preserve">re </w:t>
      </w:r>
      <w:r w:rsidR="000F3FDC" w:rsidRPr="00993C92">
        <w:rPr>
          <w:color w:val="000000" w:themeColor="text1"/>
        </w:rPr>
        <w:t>an</w:t>
      </w:r>
      <w:r w:rsidR="00353A55" w:rsidRPr="00993C92">
        <w:rPr>
          <w:color w:val="000000" w:themeColor="text1"/>
        </w:rPr>
        <w:t xml:space="preserve"> exclusion criterion </w:t>
      </w:r>
      <w:r w:rsidR="00282B43" w:rsidRPr="00993C92">
        <w:rPr>
          <w:noProof/>
          <w:color w:val="000000" w:themeColor="text1"/>
        </w:rPr>
        <w:t>(Zeevi et al., 2015)</w:t>
      </w:r>
      <w:r w:rsidR="00273D4B" w:rsidRPr="00993C92">
        <w:rPr>
          <w:color w:val="000000" w:themeColor="text1"/>
        </w:rPr>
        <w:t xml:space="preserve">, making it unlikely </w:t>
      </w:r>
      <w:r w:rsidR="00B17D95" w:rsidRPr="00993C92">
        <w:rPr>
          <w:color w:val="000000" w:themeColor="text1"/>
        </w:rPr>
        <w:t>t</w:t>
      </w:r>
      <w:r w:rsidR="00273D4B" w:rsidRPr="00993C92">
        <w:rPr>
          <w:color w:val="000000" w:themeColor="text1"/>
        </w:rPr>
        <w:t>hat patients</w:t>
      </w:r>
      <w:r w:rsidR="00B17D95" w:rsidRPr="00993C92">
        <w:rPr>
          <w:color w:val="000000" w:themeColor="text1"/>
        </w:rPr>
        <w:t xml:space="preserve"> with severe symptoms of food allergies would have been recruited</w:t>
      </w:r>
      <w:r w:rsidR="00353A55" w:rsidRPr="00993C92">
        <w:rPr>
          <w:color w:val="000000" w:themeColor="text1"/>
        </w:rPr>
        <w:t xml:space="preserve">. </w:t>
      </w:r>
      <w:r w:rsidR="004555DB" w:rsidRPr="00993C92">
        <w:rPr>
          <w:color w:val="000000" w:themeColor="text1"/>
        </w:rPr>
        <w:t xml:space="preserve">The prevalence of food allergies in Israel in young adults is less than 1% </w:t>
      </w:r>
      <w:r w:rsidR="00282B43" w:rsidRPr="00993C92">
        <w:rPr>
          <w:noProof/>
          <w:color w:val="000000" w:themeColor="text1"/>
        </w:rPr>
        <w:t>(Nachshon et al.)</w:t>
      </w:r>
      <w:r w:rsidR="004555DB" w:rsidRPr="00993C92">
        <w:rPr>
          <w:color w:val="000000" w:themeColor="text1"/>
        </w:rPr>
        <w:t xml:space="preserve"> </w:t>
      </w:r>
      <w:r w:rsidR="00B71128" w:rsidRPr="00993C92">
        <w:rPr>
          <w:color w:val="000000" w:themeColor="text1"/>
        </w:rPr>
        <w:t>and rather low compared to</w:t>
      </w:r>
      <w:r w:rsidR="00B71128" w:rsidRPr="00993C92">
        <w:t xml:space="preserve"> other countries with a western lifestyle </w:t>
      </w:r>
      <w:r w:rsidR="00282B43" w:rsidRPr="00993C92">
        <w:rPr>
          <w:noProof/>
        </w:rPr>
        <w:t>(Lyons et al.)</w:t>
      </w:r>
      <w:r w:rsidR="00B71128" w:rsidRPr="00993C92">
        <w:t xml:space="preserve">. </w:t>
      </w:r>
      <w:r w:rsidR="00B814A9" w:rsidRPr="00993C92">
        <w:t>Therefore</w:t>
      </w:r>
      <w:r w:rsidR="00047D49" w:rsidRPr="00993C92">
        <w:t>,</w:t>
      </w:r>
      <w:r w:rsidR="00B814A9" w:rsidRPr="00993C92">
        <w:t xml:space="preserve"> i</w:t>
      </w:r>
      <w:r w:rsidR="00F76EB4" w:rsidRPr="00993C92">
        <w:rPr>
          <w:color w:val="000000" w:themeColor="text1"/>
        </w:rPr>
        <w:t xml:space="preserve">t </w:t>
      </w:r>
      <w:r w:rsidR="008F74A8" w:rsidRPr="00993C92">
        <w:rPr>
          <w:color w:val="000000" w:themeColor="text1"/>
        </w:rPr>
        <w:t>appears</w:t>
      </w:r>
      <w:r w:rsidR="00F76EB4" w:rsidRPr="00993C92">
        <w:rPr>
          <w:color w:val="000000" w:themeColor="text1"/>
        </w:rPr>
        <w:t xml:space="preserve"> unlikely, that a large fraction of our </w:t>
      </w:r>
      <w:r w:rsidR="00B71128" w:rsidRPr="00993C92">
        <w:rPr>
          <w:color w:val="000000" w:themeColor="text1"/>
        </w:rPr>
        <w:t xml:space="preserve">cohort </w:t>
      </w:r>
      <w:r w:rsidR="00F76EB4" w:rsidRPr="00993C92">
        <w:rPr>
          <w:color w:val="000000" w:themeColor="text1"/>
        </w:rPr>
        <w:t xml:space="preserve">would </w:t>
      </w:r>
      <w:r w:rsidR="00560FE9" w:rsidRPr="00993C92">
        <w:rPr>
          <w:color w:val="000000" w:themeColor="text1"/>
        </w:rPr>
        <w:t xml:space="preserve">suffer </w:t>
      </w:r>
      <w:r w:rsidR="00F76EB4" w:rsidRPr="00993C92">
        <w:rPr>
          <w:color w:val="000000" w:themeColor="text1"/>
        </w:rPr>
        <w:t>from food allergies</w:t>
      </w:r>
      <w:r w:rsidR="00B17D95" w:rsidRPr="00993C92">
        <w:rPr>
          <w:color w:val="000000" w:themeColor="text1"/>
        </w:rPr>
        <w:t xml:space="preserve">. </w:t>
      </w:r>
      <w:r w:rsidR="008F74A8" w:rsidRPr="00993C92">
        <w:rPr>
          <w:color w:val="000000" w:themeColor="text1"/>
        </w:rPr>
        <w:t>Israeli allergy incidence rates</w:t>
      </w:r>
      <w:r w:rsidR="00B71128" w:rsidRPr="00993C92">
        <w:rPr>
          <w:color w:val="000000" w:themeColor="text1"/>
        </w:rPr>
        <w:t xml:space="preserve"> reported in the literature </w:t>
      </w:r>
      <w:r w:rsidR="00282B43" w:rsidRPr="00993C92">
        <w:rPr>
          <w:noProof/>
          <w:color w:val="000000" w:themeColor="text1"/>
        </w:rPr>
        <w:t>(Nachshon et al.)</w:t>
      </w:r>
      <w:r w:rsidR="00B71128" w:rsidRPr="00993C92">
        <w:rPr>
          <w:color w:val="000000" w:themeColor="text1"/>
        </w:rPr>
        <w:t xml:space="preserve"> are much lower than antibody binding rates of more than 50% o</w:t>
      </w:r>
      <w:r w:rsidR="008F74A8" w:rsidRPr="00993C92">
        <w:rPr>
          <w:color w:val="000000" w:themeColor="text1"/>
        </w:rPr>
        <w:t>b</w:t>
      </w:r>
      <w:r w:rsidR="00B71128" w:rsidRPr="00993C92">
        <w:rPr>
          <w:color w:val="000000" w:themeColor="text1"/>
        </w:rPr>
        <w:t xml:space="preserve">served for </w:t>
      </w:r>
      <w:r w:rsidR="008F74A8" w:rsidRPr="00993C92">
        <w:rPr>
          <w:color w:val="000000" w:themeColor="text1"/>
        </w:rPr>
        <w:t>common</w:t>
      </w:r>
      <w:r w:rsidR="00B71128" w:rsidRPr="00993C92">
        <w:rPr>
          <w:color w:val="000000" w:themeColor="text1"/>
        </w:rPr>
        <w:t xml:space="preserve"> food proteins</w:t>
      </w:r>
      <w:r w:rsidR="008F74A8" w:rsidRPr="00993C92">
        <w:rPr>
          <w:color w:val="000000" w:themeColor="text1"/>
        </w:rPr>
        <w:t xml:space="preserve"> in our cohort</w:t>
      </w:r>
      <w:r w:rsidR="00560FE9" w:rsidRPr="00993C92">
        <w:rPr>
          <w:color w:val="000000" w:themeColor="text1"/>
        </w:rPr>
        <w:t xml:space="preserve">. Also </w:t>
      </w:r>
      <w:r w:rsidR="00951143" w:rsidRPr="00993C92">
        <w:rPr>
          <w:color w:val="000000" w:themeColor="text1"/>
        </w:rPr>
        <w:t>in verification experiments of these commonly bound food peptides, we detected little IgE binding</w:t>
      </w:r>
      <w:r w:rsidR="00B71128" w:rsidRPr="00993C92">
        <w:rPr>
          <w:color w:val="000000" w:themeColor="text1"/>
        </w:rPr>
        <w:t>.</w:t>
      </w:r>
      <w:r w:rsidR="00F76EB4" w:rsidRPr="00993C92">
        <w:rPr>
          <w:color w:val="000000" w:themeColor="text1"/>
        </w:rPr>
        <w:t xml:space="preserve"> </w:t>
      </w:r>
      <w:r w:rsidR="004216E7" w:rsidRPr="00993C92">
        <w:rPr>
          <w:color w:val="000000" w:themeColor="text1"/>
        </w:rPr>
        <w:t>Hence, together with the near exclusive</w:t>
      </w:r>
      <w:r w:rsidR="00353A55" w:rsidRPr="00993C92">
        <w:rPr>
          <w:color w:val="000000" w:themeColor="text1"/>
        </w:rPr>
        <w:t xml:space="preserve"> detection of IgG responses with our experimental design, we can</w:t>
      </w:r>
      <w:r w:rsidR="004216E7" w:rsidRPr="00993C92">
        <w:rPr>
          <w:color w:val="000000" w:themeColor="text1"/>
        </w:rPr>
        <w:t xml:space="preserve"> </w:t>
      </w:r>
      <w:r w:rsidR="00F76EB4" w:rsidRPr="00993C92">
        <w:rPr>
          <w:color w:val="000000" w:themeColor="text1"/>
        </w:rPr>
        <w:t xml:space="preserve">reasonably </w:t>
      </w:r>
      <w:r w:rsidR="00353A55" w:rsidRPr="00993C92">
        <w:rPr>
          <w:color w:val="000000" w:themeColor="text1"/>
        </w:rPr>
        <w:t xml:space="preserve">rule out allergies contributing to the </w:t>
      </w:r>
      <w:r w:rsidR="00B71128" w:rsidRPr="00993C92">
        <w:rPr>
          <w:color w:val="000000" w:themeColor="text1"/>
        </w:rPr>
        <w:t xml:space="preserve">majority of the </w:t>
      </w:r>
      <w:r w:rsidR="00353A55" w:rsidRPr="00993C92">
        <w:rPr>
          <w:color w:val="000000" w:themeColor="text1"/>
        </w:rPr>
        <w:t>observed signal</w:t>
      </w:r>
      <w:r w:rsidR="00B71128" w:rsidRPr="00993C92">
        <w:rPr>
          <w:color w:val="000000" w:themeColor="text1"/>
        </w:rPr>
        <w:t>s (</w:t>
      </w:r>
      <w:r w:rsidR="00904EB9" w:rsidRPr="00993C92">
        <w:rPr>
          <w:color w:val="000000" w:themeColor="text1"/>
        </w:rPr>
        <w:t xml:space="preserve">infrequently occurring antibody responses against food proteins in ~1% of our cohort may be affected by allergies, but these have been excluded, as we were only analyzing </w:t>
      </w:r>
      <w:r w:rsidR="004A5A86" w:rsidRPr="00993C92">
        <w:rPr>
          <w:color w:val="000000" w:themeColor="text1"/>
        </w:rPr>
        <w:t xml:space="preserve">antibody </w:t>
      </w:r>
      <w:r w:rsidR="00904EB9" w:rsidRPr="00993C92">
        <w:rPr>
          <w:color w:val="000000" w:themeColor="text1"/>
        </w:rPr>
        <w:t>responses occurring in &gt;2% of individuals)</w:t>
      </w:r>
      <w:r w:rsidR="00353A55" w:rsidRPr="00993C92">
        <w:rPr>
          <w:color w:val="000000" w:themeColor="text1"/>
        </w:rPr>
        <w:t>.</w:t>
      </w:r>
      <w:r w:rsidR="004A5A86" w:rsidRPr="00993C92">
        <w:rPr>
          <w:color w:val="000000" w:themeColor="text1"/>
        </w:rPr>
        <w:t xml:space="preserve"> </w:t>
      </w:r>
      <w:r w:rsidR="00B17D95" w:rsidRPr="00993C92">
        <w:rPr>
          <w:color w:val="000000" w:themeColor="text1"/>
        </w:rPr>
        <w:t>Furthermore, a</w:t>
      </w:r>
      <w:r w:rsidR="004A5A86" w:rsidRPr="00993C92">
        <w:rPr>
          <w:color w:val="000000" w:themeColor="text1"/>
        </w:rPr>
        <w:t>s we had collected FFQ data for this cohort, we also tested for correlations of dietary intake and antibody responses. If our cohort had included a large</w:t>
      </w:r>
      <w:r w:rsidR="00273D4B" w:rsidRPr="00993C92">
        <w:rPr>
          <w:color w:val="000000" w:themeColor="text1"/>
        </w:rPr>
        <w:t>r</w:t>
      </w:r>
      <w:r w:rsidR="004A5A86" w:rsidRPr="00993C92">
        <w:rPr>
          <w:color w:val="000000" w:themeColor="text1"/>
        </w:rPr>
        <w:t xml:space="preserve"> number of allergic individuals avoiding certain foods</w:t>
      </w:r>
      <w:r w:rsidR="00273D4B" w:rsidRPr="00993C92">
        <w:rPr>
          <w:color w:val="000000" w:themeColor="text1"/>
        </w:rPr>
        <w:t>, we would have expected to find a negative correlation with the antibody responses. However, we only detected a positive correlation, further suggesting that food allergies do not strongly contribute to the findings reported here.</w:t>
      </w:r>
    </w:p>
    <w:bookmarkEnd w:id="12"/>
    <w:p w14:paraId="47FEA379" w14:textId="6DC54134" w:rsidR="00694EA2" w:rsidRPr="00993C92" w:rsidRDefault="0057497D" w:rsidP="007567C3">
      <w:pPr>
        <w:spacing w:after="0" w:line="257" w:lineRule="auto"/>
        <w:jc w:val="both"/>
        <w:rPr>
          <w:color w:val="000000" w:themeColor="text1"/>
        </w:rPr>
      </w:pPr>
      <w:r w:rsidRPr="00993C92">
        <w:rPr>
          <w:color w:val="000000" w:themeColor="text1"/>
        </w:rPr>
        <w:t xml:space="preserve">Detailed information on </w:t>
      </w:r>
      <w:r w:rsidR="00121F08" w:rsidRPr="00993C92">
        <w:rPr>
          <w:color w:val="000000" w:themeColor="text1"/>
        </w:rPr>
        <w:t xml:space="preserve">respiratory or contact allergies </w:t>
      </w:r>
      <w:r w:rsidR="0085251B" w:rsidRPr="00993C92">
        <w:rPr>
          <w:color w:val="000000" w:themeColor="text1"/>
        </w:rPr>
        <w:t xml:space="preserve">were </w:t>
      </w:r>
      <w:r w:rsidR="00121F08" w:rsidRPr="00993C92">
        <w:rPr>
          <w:color w:val="000000" w:themeColor="text1"/>
        </w:rPr>
        <w:t xml:space="preserve">not collected for our cohort </w:t>
      </w:r>
      <w:r w:rsidR="00282B43" w:rsidRPr="00993C92">
        <w:rPr>
          <w:noProof/>
          <w:color w:val="000000" w:themeColor="text1"/>
        </w:rPr>
        <w:t>(Zeevi et al., 2015)</w:t>
      </w:r>
      <w:r w:rsidR="00121F08" w:rsidRPr="00993C92">
        <w:rPr>
          <w:color w:val="000000" w:themeColor="text1"/>
        </w:rPr>
        <w:t xml:space="preserve">, yet IgE antibody responses against such </w:t>
      </w:r>
      <w:r w:rsidR="000C0A54" w:rsidRPr="00993C92">
        <w:rPr>
          <w:color w:val="000000" w:themeColor="text1"/>
        </w:rPr>
        <w:t xml:space="preserve">environmental </w:t>
      </w:r>
      <w:r w:rsidR="00121F08" w:rsidRPr="00993C92">
        <w:rPr>
          <w:color w:val="000000" w:themeColor="text1"/>
        </w:rPr>
        <w:t xml:space="preserve">antigens could be studied: </w:t>
      </w:r>
      <w:r w:rsidR="004216E7" w:rsidRPr="00993C92">
        <w:rPr>
          <w:color w:val="000000" w:themeColor="text1"/>
        </w:rPr>
        <w:t>I</w:t>
      </w:r>
      <w:r w:rsidR="00353A55" w:rsidRPr="00993C92">
        <w:rPr>
          <w:color w:val="000000" w:themeColor="text1"/>
        </w:rPr>
        <w:t xml:space="preserve">n principle PhIP-Seq allows focused studies of </w:t>
      </w:r>
      <w:r w:rsidR="00CA31D5" w:rsidRPr="00993C92">
        <w:rPr>
          <w:color w:val="000000" w:themeColor="text1"/>
        </w:rPr>
        <w:t xml:space="preserve">different </w:t>
      </w:r>
      <w:r w:rsidR="00353A55" w:rsidRPr="00993C92">
        <w:rPr>
          <w:color w:val="000000" w:themeColor="text1"/>
        </w:rPr>
        <w:t>Ig classes using specific capture antibodies and can be applied to study Ig</w:t>
      </w:r>
      <w:r w:rsidR="00154679" w:rsidRPr="00993C92">
        <w:rPr>
          <w:color w:val="000000" w:themeColor="text1"/>
        </w:rPr>
        <w:t>E</w:t>
      </w:r>
      <w:r w:rsidR="00353A55" w:rsidRPr="00993C92">
        <w:rPr>
          <w:color w:val="000000" w:themeColor="text1"/>
        </w:rPr>
        <w:t xml:space="preserve"> epitope repertoires recognized in allergies </w:t>
      </w:r>
      <w:r w:rsidR="00282B43" w:rsidRPr="00993C92">
        <w:rPr>
          <w:noProof/>
          <w:color w:val="000000" w:themeColor="text1"/>
        </w:rPr>
        <w:t>(Chen et al., 2021; Monaco et al., 2021)</w:t>
      </w:r>
      <w:r w:rsidR="00353A55" w:rsidRPr="00993C92">
        <w:rPr>
          <w:color w:val="000000" w:themeColor="text1"/>
        </w:rPr>
        <w:t>. ‘Aller</w:t>
      </w:r>
      <w:r w:rsidR="006B35A5" w:rsidRPr="00993C92">
        <w:rPr>
          <w:color w:val="000000" w:themeColor="text1"/>
        </w:rPr>
        <w:t xml:space="preserve">Scan’ has been used to profile antibody responses in wheat </w:t>
      </w:r>
      <w:r w:rsidR="00282B43" w:rsidRPr="00993C92">
        <w:rPr>
          <w:noProof/>
          <w:color w:val="000000" w:themeColor="text1"/>
        </w:rPr>
        <w:t>(Monaco et al., 2021)</w:t>
      </w:r>
      <w:r w:rsidR="006B35A5" w:rsidRPr="00993C92">
        <w:rPr>
          <w:color w:val="000000" w:themeColor="text1"/>
        </w:rPr>
        <w:t xml:space="preserve"> and peanut </w:t>
      </w:r>
      <w:r w:rsidR="00282B43" w:rsidRPr="00993C92">
        <w:rPr>
          <w:noProof/>
          <w:color w:val="000000" w:themeColor="text1"/>
        </w:rPr>
        <w:t>(Chen et al., 2021)</w:t>
      </w:r>
      <w:r w:rsidR="006B35A5" w:rsidRPr="00993C92">
        <w:rPr>
          <w:color w:val="000000" w:themeColor="text1"/>
        </w:rPr>
        <w:t xml:space="preserve"> allergy</w:t>
      </w:r>
      <w:r w:rsidR="0055356E" w:rsidRPr="00993C92">
        <w:rPr>
          <w:color w:val="000000" w:themeColor="text1"/>
        </w:rPr>
        <w:t xml:space="preserve"> and immunotherapy</w:t>
      </w:r>
      <w:r w:rsidR="006B35A5" w:rsidRPr="00993C92">
        <w:rPr>
          <w:color w:val="000000" w:themeColor="text1"/>
        </w:rPr>
        <w:t>, indicating also a remedial induction of IgG responses against IgE targets. In this respect, the IgG responses detected in our study</w:t>
      </w:r>
      <w:r w:rsidR="008D5482" w:rsidRPr="00993C92">
        <w:rPr>
          <w:color w:val="000000" w:themeColor="text1"/>
        </w:rPr>
        <w:t xml:space="preserve"> (alongside findings in animal models </w:t>
      </w:r>
      <w:r w:rsidR="00282B43" w:rsidRPr="00993C92">
        <w:rPr>
          <w:noProof/>
          <w:color w:val="000000" w:themeColor="text1"/>
        </w:rPr>
        <w:t>(Mohammed et al., 2019)</w:t>
      </w:r>
      <w:r w:rsidR="008D5482" w:rsidRPr="00993C92">
        <w:rPr>
          <w:color w:val="000000" w:themeColor="text1"/>
        </w:rPr>
        <w:t>)</w:t>
      </w:r>
      <w:r w:rsidR="006B35A5" w:rsidRPr="00993C92">
        <w:rPr>
          <w:color w:val="000000" w:themeColor="text1"/>
        </w:rPr>
        <w:t xml:space="preserve">, may also </w:t>
      </w:r>
      <w:r w:rsidR="004216E7" w:rsidRPr="00993C92">
        <w:rPr>
          <w:color w:val="000000" w:themeColor="text1"/>
        </w:rPr>
        <w:t xml:space="preserve">suggest </w:t>
      </w:r>
      <w:r w:rsidR="006B35A5" w:rsidRPr="00993C92">
        <w:rPr>
          <w:color w:val="000000" w:themeColor="text1"/>
        </w:rPr>
        <w:t>protect</w:t>
      </w:r>
      <w:r w:rsidR="004216E7" w:rsidRPr="00993C92">
        <w:rPr>
          <w:color w:val="000000" w:themeColor="text1"/>
        </w:rPr>
        <w:t>ion</w:t>
      </w:r>
      <w:r w:rsidR="006B35A5" w:rsidRPr="00993C92">
        <w:rPr>
          <w:color w:val="000000" w:themeColor="text1"/>
        </w:rPr>
        <w:t xml:space="preserve"> from allergies</w:t>
      </w:r>
      <w:r w:rsidR="004216E7" w:rsidRPr="00993C92">
        <w:rPr>
          <w:color w:val="000000" w:themeColor="text1"/>
        </w:rPr>
        <w:t xml:space="preserve"> against their targets</w:t>
      </w:r>
      <w:r w:rsidR="000C4CD4" w:rsidRPr="00993C92">
        <w:rPr>
          <w:color w:val="000000" w:themeColor="text1"/>
        </w:rPr>
        <w:t xml:space="preserve">. Studying these aspects would require IgG subclass resolved analysis, as IgG4 is especially associated with protective effects in immunotherapy </w:t>
      </w:r>
      <w:r w:rsidR="00282B43" w:rsidRPr="00993C92">
        <w:rPr>
          <w:noProof/>
          <w:color w:val="000000" w:themeColor="text1"/>
        </w:rPr>
        <w:t>(Eckl-Dorna et al., 2019; James and Till, 2016; Santos et al., 2015)</w:t>
      </w:r>
      <w:r w:rsidR="000C4CD4" w:rsidRPr="00993C92">
        <w:rPr>
          <w:color w:val="000000" w:themeColor="text1"/>
        </w:rPr>
        <w:t xml:space="preserve">, while IgG1 is involved in the trajectory towards IgE responses </w:t>
      </w:r>
      <w:r w:rsidR="00282B43" w:rsidRPr="00993C92">
        <w:rPr>
          <w:noProof/>
          <w:color w:val="000000" w:themeColor="text1"/>
        </w:rPr>
        <w:t>(Satitsuksanoa et al., 2021; Xiong et al., 2012)</w:t>
      </w:r>
      <w:r w:rsidR="006B35A5" w:rsidRPr="00993C92">
        <w:rPr>
          <w:color w:val="000000" w:themeColor="text1"/>
        </w:rPr>
        <w:t xml:space="preserve">. Given that microbiota have been recognized as a potential factor modulating food allergies </w:t>
      </w:r>
      <w:r w:rsidR="00282B43" w:rsidRPr="00993C92">
        <w:rPr>
          <w:noProof/>
          <w:color w:val="000000" w:themeColor="text1"/>
        </w:rPr>
        <w:t>(Abdel-Gadir et al., 2019; Campbell et al., 2020; Huus et al., 2020)</w:t>
      </w:r>
      <w:r w:rsidR="006B35A5" w:rsidRPr="00993C92">
        <w:rPr>
          <w:color w:val="000000" w:themeColor="text1"/>
        </w:rPr>
        <w:t xml:space="preserve">, applying the library of food and environmental antigens reported here, alongside libraries of microbiota antigens </w:t>
      </w:r>
      <w:r w:rsidR="00282B43" w:rsidRPr="00993C92">
        <w:rPr>
          <w:noProof/>
          <w:color w:val="000000" w:themeColor="text1"/>
        </w:rPr>
        <w:t>(Vogl et al., 2021)</w:t>
      </w:r>
      <w:r w:rsidR="006B35A5" w:rsidRPr="00993C92">
        <w:rPr>
          <w:color w:val="000000" w:themeColor="text1"/>
        </w:rPr>
        <w:t>, and detailed FFQs, could be used to shed light on the Ig epitope repertoires recognized in allergic individuals</w:t>
      </w:r>
      <w:r w:rsidR="007567C3" w:rsidRPr="00993C92">
        <w:rPr>
          <w:color w:val="000000" w:themeColor="text1"/>
        </w:rPr>
        <w:t xml:space="preserve"> and underlying mechanisms</w:t>
      </w:r>
      <w:r w:rsidR="006B35A5" w:rsidRPr="00993C92">
        <w:rPr>
          <w:color w:val="000000" w:themeColor="text1"/>
        </w:rPr>
        <w:t>.</w:t>
      </w:r>
    </w:p>
    <w:p w14:paraId="60E5CC5B" w14:textId="7E9CD9B0" w:rsidR="00FA6B4D" w:rsidRPr="00993C92" w:rsidRDefault="000B6B92" w:rsidP="00DE7952">
      <w:pPr>
        <w:spacing w:after="0" w:line="257" w:lineRule="auto"/>
        <w:jc w:val="both"/>
        <w:rPr>
          <w:color w:val="000000" w:themeColor="text1"/>
        </w:rPr>
      </w:pPr>
      <w:r w:rsidRPr="00993C92">
        <w:rPr>
          <w:color w:val="000000" w:themeColor="text1"/>
        </w:rPr>
        <w:t xml:space="preserve">Notably, </w:t>
      </w:r>
      <w:r w:rsidR="008D5482" w:rsidRPr="00993C92">
        <w:rPr>
          <w:color w:val="000000" w:themeColor="text1"/>
        </w:rPr>
        <w:t xml:space="preserve">antibody responses against food </w:t>
      </w:r>
      <w:r w:rsidRPr="00993C92">
        <w:rPr>
          <w:color w:val="000000" w:themeColor="text1"/>
        </w:rPr>
        <w:t xml:space="preserve">in our </w:t>
      </w:r>
      <w:r w:rsidR="00344B3C" w:rsidRPr="00993C92">
        <w:rPr>
          <w:color w:val="000000" w:themeColor="text1"/>
        </w:rPr>
        <w:t xml:space="preserve">population scale </w:t>
      </w:r>
      <w:r w:rsidRPr="00993C92">
        <w:rPr>
          <w:color w:val="000000" w:themeColor="text1"/>
        </w:rPr>
        <w:t>cohort</w:t>
      </w:r>
      <w:r w:rsidR="004216E7" w:rsidRPr="00993C92">
        <w:rPr>
          <w:color w:val="000000" w:themeColor="text1"/>
        </w:rPr>
        <w:t xml:space="preserve"> showed</w:t>
      </w:r>
      <w:r w:rsidR="008D5482" w:rsidRPr="00993C92">
        <w:rPr>
          <w:color w:val="000000" w:themeColor="text1"/>
        </w:rPr>
        <w:t xml:space="preserve"> a wide interindividual variability. While some </w:t>
      </w:r>
      <w:r w:rsidR="008D67C8" w:rsidRPr="00993C92">
        <w:rPr>
          <w:color w:val="000000" w:themeColor="text1"/>
        </w:rPr>
        <w:t xml:space="preserve">shared </w:t>
      </w:r>
      <w:r w:rsidR="008D5482" w:rsidRPr="00993C92">
        <w:rPr>
          <w:color w:val="000000" w:themeColor="text1"/>
        </w:rPr>
        <w:t xml:space="preserve">epitopes were </w:t>
      </w:r>
      <w:r w:rsidR="008D67C8" w:rsidRPr="00993C92">
        <w:rPr>
          <w:color w:val="000000" w:themeColor="text1"/>
        </w:rPr>
        <w:t xml:space="preserve">commonly bound, we did not detect near universal antibody binding, as has been reported for viral and bacterial antigens </w:t>
      </w:r>
      <w:r w:rsidR="00282B43" w:rsidRPr="00993C92">
        <w:rPr>
          <w:noProof/>
          <w:color w:val="000000" w:themeColor="text1"/>
        </w:rPr>
        <w:t>(Mina et al., 2019; Vogl et al., 2021; Xu et al., 2015)</w:t>
      </w:r>
      <w:r w:rsidR="008D67C8" w:rsidRPr="00993C92">
        <w:rPr>
          <w:color w:val="000000" w:themeColor="text1"/>
        </w:rPr>
        <w:t xml:space="preserve">. This finding may be impacted by sensitivity thresholds of PhIP-Seq as the antibody binding against food antigens appeared in general </w:t>
      </w:r>
      <w:r w:rsidR="004216E7" w:rsidRPr="00993C92">
        <w:rPr>
          <w:color w:val="000000" w:themeColor="text1"/>
        </w:rPr>
        <w:t xml:space="preserve">to be </w:t>
      </w:r>
      <w:r w:rsidR="008D67C8" w:rsidRPr="00993C92">
        <w:rPr>
          <w:color w:val="000000" w:themeColor="text1"/>
        </w:rPr>
        <w:t>weaker than</w:t>
      </w:r>
      <w:r w:rsidR="001732AE" w:rsidRPr="00993C92">
        <w:rPr>
          <w:color w:val="000000" w:themeColor="text1"/>
        </w:rPr>
        <w:t xml:space="preserve"> the</w:t>
      </w:r>
      <w:r w:rsidR="008D67C8" w:rsidRPr="00993C92">
        <w:rPr>
          <w:color w:val="000000" w:themeColor="text1"/>
        </w:rPr>
        <w:t xml:space="preserve"> responses against pathogens. However, given that responses against similar dietary antigens correlated well</w:t>
      </w:r>
      <w:r w:rsidR="00936E56" w:rsidRPr="00993C92">
        <w:rPr>
          <w:color w:val="000000" w:themeColor="text1"/>
        </w:rPr>
        <w:t xml:space="preserve">, </w:t>
      </w:r>
      <w:r w:rsidR="008D67C8" w:rsidRPr="00993C92">
        <w:rPr>
          <w:color w:val="000000" w:themeColor="text1"/>
        </w:rPr>
        <w:t xml:space="preserve">which would not be expected from large experimental noise and many </w:t>
      </w:r>
      <w:r w:rsidR="003D0E24" w:rsidRPr="00993C92">
        <w:rPr>
          <w:color w:val="000000" w:themeColor="text1"/>
        </w:rPr>
        <w:t>binding events</w:t>
      </w:r>
      <w:r w:rsidR="008D67C8" w:rsidRPr="00993C92">
        <w:rPr>
          <w:color w:val="000000" w:themeColor="text1"/>
        </w:rPr>
        <w:t xml:space="preserve"> barely passing detection thresholds, </w:t>
      </w:r>
      <w:r w:rsidR="003D0E24" w:rsidRPr="00993C92">
        <w:rPr>
          <w:color w:val="000000" w:themeColor="text1"/>
        </w:rPr>
        <w:t>the observed population wide abundances may indeed be representative.</w:t>
      </w:r>
      <w:r w:rsidR="00FD3736" w:rsidRPr="00993C92">
        <w:rPr>
          <w:color w:val="000000" w:themeColor="text1"/>
        </w:rPr>
        <w:t xml:space="preserve"> The fact that these food</w:t>
      </w:r>
      <w:r w:rsidR="000823E9" w:rsidRPr="00993C92">
        <w:rPr>
          <w:color w:val="000000" w:themeColor="text1"/>
        </w:rPr>
        <w:t>-</w:t>
      </w:r>
      <w:r w:rsidR="00FD3736" w:rsidRPr="00993C92">
        <w:rPr>
          <w:color w:val="000000" w:themeColor="text1"/>
        </w:rPr>
        <w:t xml:space="preserve">directed </w:t>
      </w:r>
      <w:r w:rsidR="009F77AF" w:rsidRPr="00993C92">
        <w:rPr>
          <w:color w:val="000000" w:themeColor="text1"/>
        </w:rPr>
        <w:t xml:space="preserve">Ig </w:t>
      </w:r>
      <w:r w:rsidR="00FD3736" w:rsidRPr="00993C92">
        <w:rPr>
          <w:color w:val="000000" w:themeColor="text1"/>
        </w:rPr>
        <w:t xml:space="preserve">responses were also longitudinally stable </w:t>
      </w:r>
      <w:r w:rsidR="009F77AF" w:rsidRPr="00993C92">
        <w:rPr>
          <w:color w:val="000000" w:themeColor="text1"/>
        </w:rPr>
        <w:t xml:space="preserve">, </w:t>
      </w:r>
      <w:r w:rsidR="00BE1A29" w:rsidRPr="00993C92">
        <w:rPr>
          <w:color w:val="000000" w:themeColor="text1"/>
        </w:rPr>
        <w:t xml:space="preserve">also </w:t>
      </w:r>
      <w:r w:rsidR="009F77AF" w:rsidRPr="00993C92">
        <w:rPr>
          <w:color w:val="000000" w:themeColor="text1"/>
        </w:rPr>
        <w:t>suggests a</w:t>
      </w:r>
      <w:r w:rsidR="000C7137" w:rsidRPr="00993C92">
        <w:rPr>
          <w:color w:val="000000" w:themeColor="text1"/>
        </w:rPr>
        <w:t xml:space="preserve">n adequate </w:t>
      </w:r>
      <w:r w:rsidR="009F77AF" w:rsidRPr="00993C92">
        <w:rPr>
          <w:color w:val="000000" w:themeColor="text1"/>
        </w:rPr>
        <w:lastRenderedPageBreak/>
        <w:t xml:space="preserve">sensitivity. </w:t>
      </w:r>
      <w:r w:rsidR="003D0E24" w:rsidRPr="00993C92">
        <w:rPr>
          <w:color w:val="000000" w:themeColor="text1"/>
        </w:rPr>
        <w:t xml:space="preserve">If desired, and potentially relevant for the allergy diagnostics suggested above, the PhIP-Seq detection thresholds could potentially be </w:t>
      </w:r>
      <w:r w:rsidR="00EB6D53" w:rsidRPr="00993C92">
        <w:rPr>
          <w:color w:val="000000" w:themeColor="text1"/>
        </w:rPr>
        <w:t>improved</w:t>
      </w:r>
      <w:r w:rsidR="003D0E24" w:rsidRPr="00993C92">
        <w:rPr>
          <w:color w:val="000000" w:themeColor="text1"/>
        </w:rPr>
        <w:t xml:space="preserve"> by sequencing with a higher coverage and enriching for Ig classes of interest.</w:t>
      </w:r>
    </w:p>
    <w:p w14:paraId="671F7B12" w14:textId="7CB648DB" w:rsidR="00867940" w:rsidRPr="00993C92" w:rsidRDefault="00EB3F25" w:rsidP="00DE7952">
      <w:pPr>
        <w:spacing w:after="0" w:line="257" w:lineRule="auto"/>
        <w:jc w:val="both"/>
        <w:rPr>
          <w:color w:val="000000" w:themeColor="text1"/>
        </w:rPr>
      </w:pPr>
      <w:r w:rsidRPr="00993C92">
        <w:rPr>
          <w:color w:val="000000" w:themeColor="text1"/>
        </w:rPr>
        <w:t>In this study</w:t>
      </w:r>
      <w:r w:rsidR="003D0E24" w:rsidRPr="00993C92">
        <w:rPr>
          <w:color w:val="000000" w:themeColor="text1"/>
        </w:rPr>
        <w:t xml:space="preserve">, we had focused on proteins previously deposited in </w:t>
      </w:r>
      <w:r w:rsidRPr="00993C92">
        <w:rPr>
          <w:color w:val="000000" w:themeColor="text1"/>
        </w:rPr>
        <w:t xml:space="preserve">immunological </w:t>
      </w:r>
      <w:r w:rsidR="003D0E24" w:rsidRPr="00993C92">
        <w:rPr>
          <w:color w:val="000000" w:themeColor="text1"/>
        </w:rPr>
        <w:t xml:space="preserve">databases. By agnostically selecting library content from proteomes of </w:t>
      </w:r>
      <w:r w:rsidR="00EB6D53" w:rsidRPr="00993C92">
        <w:rPr>
          <w:color w:val="000000" w:themeColor="text1"/>
        </w:rPr>
        <w:t>plant or animal species consumed as food</w:t>
      </w:r>
      <w:r w:rsidR="003D0E24" w:rsidRPr="00993C92">
        <w:rPr>
          <w:color w:val="000000" w:themeColor="text1"/>
        </w:rPr>
        <w:t>,</w:t>
      </w:r>
      <w:r w:rsidRPr="00993C92">
        <w:rPr>
          <w:color w:val="000000" w:themeColor="text1"/>
        </w:rPr>
        <w:t xml:space="preserve"> it</w:t>
      </w:r>
      <w:r w:rsidR="003D0E24" w:rsidRPr="00993C92">
        <w:rPr>
          <w:color w:val="000000" w:themeColor="text1"/>
        </w:rPr>
        <w:t xml:space="preserve"> could </w:t>
      </w:r>
      <w:r w:rsidR="008363A4" w:rsidRPr="00993C92">
        <w:rPr>
          <w:color w:val="000000" w:themeColor="text1"/>
        </w:rPr>
        <w:t>also</w:t>
      </w:r>
      <w:r w:rsidRPr="00993C92">
        <w:rPr>
          <w:color w:val="000000" w:themeColor="text1"/>
        </w:rPr>
        <w:t xml:space="preserve"> be possible to</w:t>
      </w:r>
      <w:r w:rsidR="008363A4" w:rsidRPr="00993C92">
        <w:rPr>
          <w:color w:val="000000" w:themeColor="text1"/>
        </w:rPr>
        <w:t xml:space="preserve"> </w:t>
      </w:r>
      <w:r w:rsidR="0085251B" w:rsidRPr="00993C92">
        <w:rPr>
          <w:color w:val="000000" w:themeColor="text1"/>
        </w:rPr>
        <w:t xml:space="preserve">detect antibody responses against </w:t>
      </w:r>
      <w:r w:rsidR="008363A4" w:rsidRPr="00993C92">
        <w:rPr>
          <w:color w:val="000000" w:themeColor="text1"/>
        </w:rPr>
        <w:t xml:space="preserve">additional dietary antigens. </w:t>
      </w:r>
      <w:r w:rsidR="003D0E24" w:rsidRPr="00993C92">
        <w:rPr>
          <w:color w:val="000000" w:themeColor="text1"/>
        </w:rPr>
        <w:t>Nonetheless, it</w:t>
      </w:r>
      <w:r w:rsidR="008363A4" w:rsidRPr="00993C92">
        <w:rPr>
          <w:color w:val="000000" w:themeColor="text1"/>
        </w:rPr>
        <w:t xml:space="preserve"> is noteworthy that some food items (milk, egg, wheat, legumes) appear to be more frequently bound by antibodies than other common dietary components (such as potatoes, tomatoes, or beef which are also frequently </w:t>
      </w:r>
      <w:r w:rsidR="00FD3736" w:rsidRPr="00993C92">
        <w:rPr>
          <w:color w:val="000000" w:themeColor="text1"/>
        </w:rPr>
        <w:t>consumed</w:t>
      </w:r>
      <w:r w:rsidR="008363A4" w:rsidRPr="00993C92">
        <w:rPr>
          <w:color w:val="000000" w:themeColor="text1"/>
        </w:rPr>
        <w:t xml:space="preserve"> by our cohort </w:t>
      </w:r>
      <w:r w:rsidR="00282B43" w:rsidRPr="00993C92">
        <w:rPr>
          <w:noProof/>
          <w:color w:val="000000" w:themeColor="text1"/>
        </w:rPr>
        <w:t>(Zeevi et al., 2015)</w:t>
      </w:r>
      <w:r w:rsidR="008363A4" w:rsidRPr="00993C92">
        <w:rPr>
          <w:color w:val="000000" w:themeColor="text1"/>
        </w:rPr>
        <w:t>). The relatively high protein content of these</w:t>
      </w:r>
      <w:r w:rsidR="00DE7952" w:rsidRPr="00993C92">
        <w:rPr>
          <w:color w:val="000000" w:themeColor="text1"/>
        </w:rPr>
        <w:t xml:space="preserve"> foods</w:t>
      </w:r>
      <w:r w:rsidR="008363A4" w:rsidRPr="00993C92">
        <w:rPr>
          <w:color w:val="000000" w:themeColor="text1"/>
        </w:rPr>
        <w:t xml:space="preserve"> (as well as their frequent consumption in various forms) </w:t>
      </w:r>
      <w:r w:rsidR="00DE7952" w:rsidRPr="00993C92">
        <w:rPr>
          <w:color w:val="000000" w:themeColor="text1"/>
        </w:rPr>
        <w:t>may contribute to this observation.</w:t>
      </w:r>
      <w:r w:rsidR="00FD3736" w:rsidRPr="00993C92">
        <w:rPr>
          <w:color w:val="000000" w:themeColor="text1"/>
        </w:rPr>
        <w:t xml:space="preserve"> We did indeed find associations of antibody repertoires with dietary intake (from FFQs) and metabolites (</w:t>
      </w:r>
      <w:r w:rsidR="00704B26" w:rsidRPr="00993C92">
        <w:rPr>
          <w:color w:val="000000" w:themeColor="text1"/>
        </w:rPr>
        <w:t xml:space="preserve">Figure S </w:t>
      </w:r>
      <w:r w:rsidR="00704B26" w:rsidRPr="00993C92">
        <w:rPr>
          <w:noProof/>
          <w:color w:val="000000" w:themeColor="text1"/>
        </w:rPr>
        <w:t>6</w:t>
      </w:r>
      <w:r w:rsidR="00704B26" w:rsidRPr="00993C92">
        <w:rPr>
          <w:color w:val="000000" w:themeColor="text1"/>
        </w:rPr>
        <w:t>c</w:t>
      </w:r>
      <w:r w:rsidR="00FD3736" w:rsidRPr="00993C92">
        <w:rPr>
          <w:color w:val="000000" w:themeColor="text1"/>
        </w:rPr>
        <w:t xml:space="preserve">), suggesting that </w:t>
      </w:r>
      <w:r w:rsidR="00EB6D53" w:rsidRPr="00993C92">
        <w:rPr>
          <w:color w:val="000000" w:themeColor="text1"/>
        </w:rPr>
        <w:t>consumption frequency</w:t>
      </w:r>
      <w:r w:rsidR="00FD3736" w:rsidRPr="00993C92">
        <w:rPr>
          <w:color w:val="000000" w:themeColor="text1"/>
        </w:rPr>
        <w:t xml:space="preserve"> and nature of the food can shape </w:t>
      </w:r>
      <w:r w:rsidR="007F4A80" w:rsidRPr="00993C92">
        <w:rPr>
          <w:color w:val="000000" w:themeColor="text1"/>
        </w:rPr>
        <w:t xml:space="preserve">systemic </w:t>
      </w:r>
      <w:r w:rsidR="00FD3736" w:rsidRPr="00993C92">
        <w:rPr>
          <w:color w:val="000000" w:themeColor="text1"/>
        </w:rPr>
        <w:t xml:space="preserve">blood antibody </w:t>
      </w:r>
      <w:r w:rsidR="00B07A39" w:rsidRPr="00993C92">
        <w:rPr>
          <w:color w:val="000000" w:themeColor="text1"/>
        </w:rPr>
        <w:t>reactivity</w:t>
      </w:r>
      <w:r w:rsidR="00FD3736" w:rsidRPr="00993C92">
        <w:rPr>
          <w:color w:val="000000" w:themeColor="text1"/>
        </w:rPr>
        <w:t>.</w:t>
      </w:r>
      <w:r w:rsidR="00DE7952" w:rsidRPr="00993C92">
        <w:rPr>
          <w:color w:val="000000" w:themeColor="text1"/>
        </w:rPr>
        <w:t xml:space="preserve"> </w:t>
      </w:r>
      <w:r w:rsidRPr="00993C92">
        <w:rPr>
          <w:color w:val="000000" w:themeColor="text1"/>
        </w:rPr>
        <w:t xml:space="preserve">On the other hand, relating to </w:t>
      </w:r>
      <w:r w:rsidR="00A57F9F" w:rsidRPr="00993C92">
        <w:rPr>
          <w:color w:val="000000" w:themeColor="text1"/>
        </w:rPr>
        <w:t>some</w:t>
      </w:r>
      <w:r w:rsidRPr="00993C92">
        <w:rPr>
          <w:color w:val="000000" w:themeColor="text1"/>
        </w:rPr>
        <w:t xml:space="preserve"> food groups being less frequently bound by antibodies (such as Solanaceae), certain food proteins may also be less immunogenic.</w:t>
      </w:r>
    </w:p>
    <w:p w14:paraId="0AF167F4" w14:textId="0274B388" w:rsidR="00AC0728" w:rsidRPr="00993C92" w:rsidRDefault="00AC0728" w:rsidP="0007153A">
      <w:pPr>
        <w:spacing w:after="120" w:line="257" w:lineRule="auto"/>
        <w:jc w:val="both"/>
        <w:rPr>
          <w:color w:val="000000" w:themeColor="text1"/>
        </w:rPr>
      </w:pPr>
      <w:r w:rsidRPr="00993C92">
        <w:rPr>
          <w:color w:val="000000" w:themeColor="text1"/>
        </w:rPr>
        <w:t xml:space="preserve">Overall, our work documents </w:t>
      </w:r>
      <w:r w:rsidR="009B4CB5" w:rsidRPr="00993C92">
        <w:rPr>
          <w:color w:val="000000" w:themeColor="text1"/>
        </w:rPr>
        <w:t xml:space="preserve">a </w:t>
      </w:r>
      <w:r w:rsidRPr="00993C92">
        <w:rPr>
          <w:color w:val="000000" w:themeColor="text1"/>
        </w:rPr>
        <w:t xml:space="preserve">wide range of food proteins targeted by systemic antibody responses and provides thereby a reference map of the exact immunogenic epitopes </w:t>
      </w:r>
      <w:r w:rsidR="00C75235" w:rsidRPr="00993C92">
        <w:rPr>
          <w:color w:val="000000" w:themeColor="text1"/>
        </w:rPr>
        <w:t xml:space="preserve">bound by IgG at population </w:t>
      </w:r>
      <w:r w:rsidR="004E6034" w:rsidRPr="00993C92">
        <w:rPr>
          <w:color w:val="000000" w:themeColor="text1"/>
        </w:rPr>
        <w:t>scale</w:t>
      </w:r>
      <w:r w:rsidR="009B4CB5" w:rsidRPr="00993C92">
        <w:rPr>
          <w:color w:val="000000" w:themeColor="text1"/>
        </w:rPr>
        <w:t xml:space="preserve">. </w:t>
      </w:r>
      <w:bookmarkStart w:id="13" w:name="_Hlk89184968"/>
      <w:r w:rsidR="009F77AF" w:rsidRPr="00993C92">
        <w:rPr>
          <w:color w:val="000000" w:themeColor="text1"/>
        </w:rPr>
        <w:t xml:space="preserve">Given that interactions between dietary antigens and the immune system have been implied in autoimmune diseases </w:t>
      </w:r>
      <w:r w:rsidR="00282B43" w:rsidRPr="00993C92">
        <w:rPr>
          <w:noProof/>
          <w:color w:val="000000" w:themeColor="text1"/>
        </w:rPr>
        <w:t>(Vojdani et al., 2020)</w:t>
      </w:r>
      <w:r w:rsidR="009F77AF" w:rsidRPr="00993C92">
        <w:rPr>
          <w:color w:val="000000" w:themeColor="text1"/>
        </w:rPr>
        <w:t>, the ability to profile hundred</w:t>
      </w:r>
      <w:r w:rsidR="00FA6B4D" w:rsidRPr="00993C92">
        <w:rPr>
          <w:color w:val="000000" w:themeColor="text1"/>
        </w:rPr>
        <w:t>s</w:t>
      </w:r>
      <w:r w:rsidR="009F77AF" w:rsidRPr="00993C92">
        <w:rPr>
          <w:color w:val="000000" w:themeColor="text1"/>
        </w:rPr>
        <w:t xml:space="preserve"> </w:t>
      </w:r>
      <w:r w:rsidR="00FA6B4D" w:rsidRPr="00993C92">
        <w:rPr>
          <w:color w:val="000000" w:themeColor="text1"/>
        </w:rPr>
        <w:t xml:space="preserve">of </w:t>
      </w:r>
      <w:r w:rsidR="009F77AF" w:rsidRPr="00993C92">
        <w:rPr>
          <w:color w:val="000000" w:themeColor="text1"/>
        </w:rPr>
        <w:t xml:space="preserve">thousands of human self-antigens </w:t>
      </w:r>
      <w:r w:rsidR="00282B43" w:rsidRPr="00993C92">
        <w:rPr>
          <w:noProof/>
          <w:color w:val="000000" w:themeColor="text1"/>
        </w:rPr>
        <w:t>(Larman et al., 2011, 2013)</w:t>
      </w:r>
      <w:r w:rsidR="009F77AF" w:rsidRPr="00993C92">
        <w:rPr>
          <w:color w:val="000000" w:themeColor="text1"/>
        </w:rPr>
        <w:t xml:space="preserve">, dietary antigens, as well as </w:t>
      </w:r>
      <w:r w:rsidR="00AE24A1" w:rsidRPr="00993C92">
        <w:rPr>
          <w:color w:val="000000" w:themeColor="text1"/>
        </w:rPr>
        <w:t xml:space="preserve">antigens of </w:t>
      </w:r>
      <w:r w:rsidR="009F77AF" w:rsidRPr="00993C92">
        <w:rPr>
          <w:color w:val="000000" w:themeColor="text1"/>
        </w:rPr>
        <w:t>viral and bacterial pathogens</w:t>
      </w:r>
      <w:r w:rsidR="00AE24A1" w:rsidRPr="00993C92">
        <w:rPr>
          <w:color w:val="000000" w:themeColor="text1"/>
        </w:rPr>
        <w:t xml:space="preserve"> </w:t>
      </w:r>
      <w:r w:rsidR="00282B43" w:rsidRPr="00993C92">
        <w:rPr>
          <w:noProof/>
          <w:color w:val="000000" w:themeColor="text1"/>
        </w:rPr>
        <w:t>(Mina et al., 2019; Vogl et al., 2021; Xu et al., 2015)</w:t>
      </w:r>
      <w:r w:rsidR="009F77AF" w:rsidRPr="00993C92">
        <w:rPr>
          <w:color w:val="000000" w:themeColor="text1"/>
        </w:rPr>
        <w:t xml:space="preserve"> by PhIP-Seq </w:t>
      </w:r>
      <w:r w:rsidR="00B07A39" w:rsidRPr="00993C92">
        <w:rPr>
          <w:color w:val="000000" w:themeColor="text1"/>
        </w:rPr>
        <w:t>paves the way towards</w:t>
      </w:r>
      <w:r w:rsidR="00AE24A1" w:rsidRPr="00993C92">
        <w:rPr>
          <w:color w:val="000000" w:themeColor="text1"/>
        </w:rPr>
        <w:t xml:space="preserve"> studying cross-reactivity and molecular mimicry</w:t>
      </w:r>
      <w:r w:rsidR="009F77AF" w:rsidRPr="00993C92">
        <w:rPr>
          <w:color w:val="000000" w:themeColor="text1"/>
        </w:rPr>
        <w:t>.</w:t>
      </w:r>
      <w:bookmarkEnd w:id="13"/>
    </w:p>
    <w:p w14:paraId="09EC0183" w14:textId="764AAB19" w:rsidR="000B25B8" w:rsidRPr="00993C92" w:rsidRDefault="0007153A" w:rsidP="000B25B8">
      <w:pPr>
        <w:pStyle w:val="Heading2"/>
        <w:rPr>
          <w:color w:val="000000" w:themeColor="text1"/>
        </w:rPr>
      </w:pPr>
      <w:bookmarkStart w:id="14" w:name="_Hlk103801934"/>
      <w:r w:rsidRPr="00993C92">
        <w:rPr>
          <w:color w:val="000000" w:themeColor="text1"/>
        </w:rPr>
        <w:t>Limitations</w:t>
      </w:r>
      <w:bookmarkEnd w:id="14"/>
      <w:r w:rsidR="00AC43D0" w:rsidRPr="00993C92">
        <w:rPr>
          <w:color w:val="000000" w:themeColor="text1"/>
        </w:rPr>
        <w:t xml:space="preserve"> of the study</w:t>
      </w:r>
    </w:p>
    <w:p w14:paraId="43A7BB48" w14:textId="7E2A13BA" w:rsidR="000B25B8" w:rsidRPr="00993C92" w:rsidRDefault="00F73985" w:rsidP="00912087">
      <w:pPr>
        <w:spacing w:after="120" w:line="257" w:lineRule="auto"/>
        <w:jc w:val="both"/>
        <w:rPr>
          <w:color w:val="000000" w:themeColor="text1"/>
        </w:rPr>
      </w:pPr>
      <w:r w:rsidRPr="00993C92">
        <w:rPr>
          <w:color w:val="000000" w:themeColor="text1"/>
        </w:rPr>
        <w:t xml:space="preserve">A major </w:t>
      </w:r>
      <w:r w:rsidR="00BD3C32" w:rsidRPr="00993C92">
        <w:rPr>
          <w:color w:val="000000" w:themeColor="text1"/>
        </w:rPr>
        <w:t xml:space="preserve">caveat of this </w:t>
      </w:r>
      <w:r w:rsidR="00DA29F9" w:rsidRPr="00993C92">
        <w:rPr>
          <w:color w:val="000000" w:themeColor="text1"/>
        </w:rPr>
        <w:t xml:space="preserve">type of </w:t>
      </w:r>
      <w:r w:rsidR="00BD3C32" w:rsidRPr="00993C92">
        <w:rPr>
          <w:color w:val="000000" w:themeColor="text1"/>
        </w:rPr>
        <w:t>study is, that it provides only functional data on the food antigens bound</w:t>
      </w:r>
      <w:r w:rsidR="00544CE7" w:rsidRPr="00993C92">
        <w:rPr>
          <w:color w:val="000000" w:themeColor="text1"/>
        </w:rPr>
        <w:t xml:space="preserve"> by Igs</w:t>
      </w:r>
      <w:r w:rsidR="00BD3C32" w:rsidRPr="00993C92">
        <w:rPr>
          <w:color w:val="000000" w:themeColor="text1"/>
        </w:rPr>
        <w:t xml:space="preserve">, while the underlying BCR sequences driving these binding events </w:t>
      </w:r>
      <w:r w:rsidR="00544CE7" w:rsidRPr="00993C92">
        <w:rPr>
          <w:color w:val="000000" w:themeColor="text1"/>
        </w:rPr>
        <w:t>remain</w:t>
      </w:r>
      <w:r w:rsidR="00BD3C32" w:rsidRPr="00993C92">
        <w:rPr>
          <w:color w:val="000000" w:themeColor="text1"/>
        </w:rPr>
        <w:t xml:space="preserve"> unknown. Hence, it is unclear if converging antibody binding against the same antigen in different individuals is achieved by similar VDJ recombination events, or if vastly dissimilar </w:t>
      </w:r>
      <w:r w:rsidR="00B5660D" w:rsidRPr="00993C92">
        <w:rPr>
          <w:color w:val="000000" w:themeColor="text1"/>
        </w:rPr>
        <w:t>recombination events and mutations</w:t>
      </w:r>
      <w:r w:rsidR="00BD3C32" w:rsidRPr="00993C92">
        <w:rPr>
          <w:color w:val="000000" w:themeColor="text1"/>
        </w:rPr>
        <w:t xml:space="preserve"> can target the same food antigens. In this respect, also the contribution of differences in individuals’ </w:t>
      </w:r>
      <w:r w:rsidR="00B5660D" w:rsidRPr="00993C92">
        <w:rPr>
          <w:color w:val="000000" w:themeColor="text1"/>
        </w:rPr>
        <w:t>naïve</w:t>
      </w:r>
      <w:r w:rsidR="00BD3C32" w:rsidRPr="00993C92">
        <w:rPr>
          <w:color w:val="000000" w:themeColor="text1"/>
        </w:rPr>
        <w:t xml:space="preserve"> B cell repertoires is unknown. However, these open questions are challenging to address, </w:t>
      </w:r>
      <w:r w:rsidR="009354A6" w:rsidRPr="00993C92">
        <w:rPr>
          <w:color w:val="000000" w:themeColor="text1"/>
        </w:rPr>
        <w:t>as currently no high-throughput methods are available</w:t>
      </w:r>
      <w:r w:rsidR="00B5660D" w:rsidRPr="00993C92">
        <w:rPr>
          <w:color w:val="000000" w:themeColor="text1"/>
        </w:rPr>
        <w:t>,</w:t>
      </w:r>
      <w:r w:rsidR="009354A6" w:rsidRPr="00993C92">
        <w:rPr>
          <w:color w:val="000000" w:themeColor="text1"/>
        </w:rPr>
        <w:t xml:space="preserve"> that would allow to identify the BCR sequences even of hundreds of antigens in hundreds of people at reasonable cost.</w:t>
      </w:r>
    </w:p>
    <w:p w14:paraId="5B81617B" w14:textId="5E22FB24" w:rsidR="009354A6" w:rsidRPr="00993C92" w:rsidRDefault="009354A6" w:rsidP="00912087">
      <w:pPr>
        <w:spacing w:after="120" w:line="257" w:lineRule="auto"/>
        <w:jc w:val="both"/>
        <w:rPr>
          <w:color w:val="000000" w:themeColor="text1"/>
        </w:rPr>
      </w:pPr>
      <w:r w:rsidRPr="00993C92">
        <w:rPr>
          <w:color w:val="000000" w:themeColor="text1"/>
        </w:rPr>
        <w:t xml:space="preserve">Beyond this antibody function – BCR sequence relationship, our study also leaves the contribution of individuals’ HLA types unaddressed. </w:t>
      </w:r>
      <w:r w:rsidR="00F73985" w:rsidRPr="00993C92">
        <w:rPr>
          <w:color w:val="000000" w:themeColor="text1"/>
        </w:rPr>
        <w:t xml:space="preserve">HLA alleles would likely shape </w:t>
      </w:r>
      <w:r w:rsidRPr="00993C92">
        <w:rPr>
          <w:color w:val="000000" w:themeColor="text1"/>
        </w:rPr>
        <w:t>T cell dependent B cell activation in a</w:t>
      </w:r>
      <w:r w:rsidR="00F73985" w:rsidRPr="00993C92">
        <w:rPr>
          <w:color w:val="000000" w:themeColor="text1"/>
        </w:rPr>
        <w:t xml:space="preserve"> protein specific</w:t>
      </w:r>
      <w:r w:rsidRPr="00993C92">
        <w:rPr>
          <w:color w:val="000000" w:themeColor="text1"/>
        </w:rPr>
        <w:t xml:space="preserve"> manner</w:t>
      </w:r>
      <w:r w:rsidR="00F73985" w:rsidRPr="00993C92">
        <w:rPr>
          <w:color w:val="000000" w:themeColor="text1"/>
        </w:rPr>
        <w:t>. For example, certain HLA polymorphisms predispose for food allergies</w:t>
      </w:r>
      <w:r w:rsidR="000902EF" w:rsidRPr="00993C92">
        <w:rPr>
          <w:color w:val="000000" w:themeColor="text1"/>
        </w:rPr>
        <w:t xml:space="preserve"> </w:t>
      </w:r>
      <w:r w:rsidR="00282B43" w:rsidRPr="00993C92">
        <w:rPr>
          <w:noProof/>
          <w:color w:val="000000" w:themeColor="text1"/>
        </w:rPr>
        <w:t>(Hemler et al., 2015; Kostara et al., 2020)</w:t>
      </w:r>
      <w:r w:rsidR="00F73985" w:rsidRPr="00993C92">
        <w:rPr>
          <w:color w:val="000000" w:themeColor="text1"/>
        </w:rPr>
        <w:t>.</w:t>
      </w:r>
      <w:r w:rsidR="000902EF" w:rsidRPr="00993C92">
        <w:rPr>
          <w:color w:val="000000" w:themeColor="text1"/>
        </w:rPr>
        <w:t xml:space="preserve"> Linking PhIP-Seq data of antiviral antibody responses to genetic data has indeed shown associations to HLA alleles </w:t>
      </w:r>
      <w:r w:rsidR="00282B43" w:rsidRPr="00993C92">
        <w:rPr>
          <w:noProof/>
          <w:color w:val="000000" w:themeColor="text1"/>
        </w:rPr>
        <w:t>(Venkataraman et al., 2022)</w:t>
      </w:r>
      <w:r w:rsidR="000902EF" w:rsidRPr="00993C92">
        <w:rPr>
          <w:color w:val="000000" w:themeColor="text1"/>
        </w:rPr>
        <w:t>, suggesting that large enough cohorts could also be used to disentangle the impact of HLA polymorphisms of antibody responses against food proteins.</w:t>
      </w:r>
    </w:p>
    <w:p w14:paraId="6464EBF4" w14:textId="53DEDF8D" w:rsidR="00332EDC" w:rsidRPr="00993C92" w:rsidRDefault="005C514F" w:rsidP="004E6034">
      <w:pPr>
        <w:spacing w:after="0" w:line="257" w:lineRule="auto"/>
        <w:jc w:val="both"/>
        <w:rPr>
          <w:color w:val="000000" w:themeColor="text1"/>
        </w:rPr>
      </w:pPr>
      <w:bookmarkStart w:id="15" w:name="_Hlk112758019"/>
      <w:bookmarkStart w:id="16" w:name="_Hlk112573730"/>
      <w:r w:rsidRPr="00993C92">
        <w:rPr>
          <w:color w:val="000000" w:themeColor="text1"/>
        </w:rPr>
        <w:t>Furthermore</w:t>
      </w:r>
      <w:r w:rsidR="00912087" w:rsidRPr="00993C92">
        <w:rPr>
          <w:color w:val="000000" w:themeColor="text1"/>
        </w:rPr>
        <w:t xml:space="preserve">, the antibody responses that we can detect in our experimental setup are constrained by the content of </w:t>
      </w:r>
      <w:r w:rsidR="00BA04B8" w:rsidRPr="00993C92">
        <w:rPr>
          <w:color w:val="000000" w:themeColor="text1"/>
        </w:rPr>
        <w:t>our</w:t>
      </w:r>
      <w:r w:rsidR="00912087" w:rsidRPr="00993C92">
        <w:rPr>
          <w:color w:val="000000" w:themeColor="text1"/>
        </w:rPr>
        <w:t xml:space="preserve"> PhIP-Seq library.</w:t>
      </w:r>
      <w:r w:rsidR="003546D5" w:rsidRPr="00993C92">
        <w:rPr>
          <w:color w:val="000000" w:themeColor="text1"/>
        </w:rPr>
        <w:t xml:space="preserve"> By selecting antigens from existing databases, our library is limited towards food and environmental allergens, </w:t>
      </w:r>
      <w:r w:rsidR="00EF4190" w:rsidRPr="00993C92">
        <w:rPr>
          <w:color w:val="000000" w:themeColor="text1"/>
        </w:rPr>
        <w:t xml:space="preserve">that </w:t>
      </w:r>
      <w:r w:rsidR="003546D5" w:rsidRPr="00993C92">
        <w:rPr>
          <w:color w:val="000000" w:themeColor="text1"/>
        </w:rPr>
        <w:t xml:space="preserve">were already known to elicit an immune response (although primarily anti-food IgE responses had been reported, while our work provides </w:t>
      </w:r>
      <w:r w:rsidR="00C9386E" w:rsidRPr="00993C92">
        <w:rPr>
          <w:color w:val="000000" w:themeColor="text1"/>
        </w:rPr>
        <w:t>a</w:t>
      </w:r>
      <w:r w:rsidR="003546D5" w:rsidRPr="00993C92">
        <w:rPr>
          <w:color w:val="000000" w:themeColor="text1"/>
        </w:rPr>
        <w:t xml:space="preserve"> population scale perspective on IgG responses against food antigens).</w:t>
      </w:r>
      <w:r w:rsidR="00EF4190" w:rsidRPr="00993C92">
        <w:rPr>
          <w:color w:val="000000" w:themeColor="text1"/>
        </w:rPr>
        <w:t xml:space="preserve"> </w:t>
      </w:r>
      <w:r w:rsidR="0016588B" w:rsidRPr="00993C92">
        <w:rPr>
          <w:color w:val="000000" w:themeColor="text1"/>
        </w:rPr>
        <w:t>While we t</w:t>
      </w:r>
      <w:r w:rsidR="004E6034" w:rsidRPr="00993C92">
        <w:rPr>
          <w:color w:val="000000" w:themeColor="text1"/>
        </w:rPr>
        <w:t>hereby</w:t>
      </w:r>
      <w:r w:rsidR="0016588B" w:rsidRPr="00993C92">
        <w:rPr>
          <w:color w:val="000000" w:themeColor="text1"/>
        </w:rPr>
        <w:t xml:space="preserve"> primarily studied antibody responses against allergenic proteins, i</w:t>
      </w:r>
      <w:r w:rsidR="00EF4190" w:rsidRPr="00993C92">
        <w:rPr>
          <w:color w:val="000000" w:themeColor="text1"/>
        </w:rPr>
        <w:t xml:space="preserve">t </w:t>
      </w:r>
      <w:r w:rsidR="0016588B" w:rsidRPr="00993C92">
        <w:rPr>
          <w:color w:val="000000" w:themeColor="text1"/>
        </w:rPr>
        <w:t xml:space="preserve">will </w:t>
      </w:r>
      <w:r w:rsidR="00EF4190" w:rsidRPr="00993C92">
        <w:rPr>
          <w:color w:val="000000" w:themeColor="text1"/>
        </w:rPr>
        <w:t xml:space="preserve">also be </w:t>
      </w:r>
      <w:r w:rsidR="00C9386E" w:rsidRPr="00993C92">
        <w:rPr>
          <w:color w:val="000000" w:themeColor="text1"/>
        </w:rPr>
        <w:t>informative</w:t>
      </w:r>
      <w:r w:rsidR="00EF4190" w:rsidRPr="00993C92">
        <w:rPr>
          <w:color w:val="000000" w:themeColor="text1"/>
        </w:rPr>
        <w:t xml:space="preserve"> to select </w:t>
      </w:r>
      <w:r w:rsidR="00C9386E" w:rsidRPr="00993C92">
        <w:rPr>
          <w:color w:val="000000" w:themeColor="text1"/>
        </w:rPr>
        <w:t xml:space="preserve">additional </w:t>
      </w:r>
      <w:r w:rsidR="00EF4190" w:rsidRPr="00993C92">
        <w:rPr>
          <w:color w:val="000000" w:themeColor="text1"/>
        </w:rPr>
        <w:t xml:space="preserve">food </w:t>
      </w:r>
      <w:r w:rsidR="00EE127F" w:rsidRPr="00993C92">
        <w:rPr>
          <w:color w:val="000000" w:themeColor="text1"/>
        </w:rPr>
        <w:t>proteins</w:t>
      </w:r>
      <w:r w:rsidR="00EF4190" w:rsidRPr="00993C92">
        <w:rPr>
          <w:color w:val="000000" w:themeColor="text1"/>
        </w:rPr>
        <w:t xml:space="preserve"> representative of the diversity of foods documented by the FFQs of this cohort</w:t>
      </w:r>
      <w:r w:rsidR="00DA29F9" w:rsidRPr="00993C92">
        <w:rPr>
          <w:color w:val="000000" w:themeColor="text1"/>
        </w:rPr>
        <w:t>, as an even more exploratory library</w:t>
      </w:r>
      <w:r w:rsidR="00EF4190" w:rsidRPr="00993C92">
        <w:rPr>
          <w:color w:val="000000" w:themeColor="text1"/>
        </w:rPr>
        <w:t xml:space="preserve">. Yet, selecting relevant proteins potentially </w:t>
      </w:r>
      <w:r w:rsidR="0062761C" w:rsidRPr="00993C92">
        <w:rPr>
          <w:color w:val="000000" w:themeColor="text1"/>
        </w:rPr>
        <w:t>bound by Igs from large plant and animal genomes could represent a challenge by itself.</w:t>
      </w:r>
      <w:bookmarkEnd w:id="15"/>
    </w:p>
    <w:p w14:paraId="756182E9" w14:textId="61BE1F7F" w:rsidR="005F0915" w:rsidRPr="00993C92" w:rsidRDefault="00332EDC" w:rsidP="00912087">
      <w:pPr>
        <w:spacing w:after="120" w:line="257" w:lineRule="auto"/>
        <w:jc w:val="both"/>
        <w:rPr>
          <w:color w:val="000000" w:themeColor="text1"/>
        </w:rPr>
      </w:pPr>
      <w:bookmarkStart w:id="17" w:name="_Hlk112574560"/>
      <w:bookmarkEnd w:id="16"/>
      <w:r w:rsidRPr="00993C92">
        <w:rPr>
          <w:color w:val="000000" w:themeColor="text1"/>
        </w:rPr>
        <w:lastRenderedPageBreak/>
        <w:t xml:space="preserve">In the same way, </w:t>
      </w:r>
      <w:bookmarkStart w:id="18" w:name="_Hlk112757948"/>
      <w:r w:rsidRPr="00993C92">
        <w:rPr>
          <w:color w:val="000000" w:themeColor="text1"/>
        </w:rPr>
        <w:t>our representation of infectious diseases is limited to what has been deposited in the IEDB. Hence,</w:t>
      </w:r>
      <w:r w:rsidR="00FF231D" w:rsidRPr="00993C92">
        <w:rPr>
          <w:color w:val="000000" w:themeColor="text1"/>
        </w:rPr>
        <w:t xml:space="preserve"> the lack of correlation between food proteins and infectious disease responses does not automatically favor or exclude one of the two hypotheses </w:t>
      </w:r>
      <w:r w:rsidR="004555DB" w:rsidRPr="00993C92">
        <w:rPr>
          <w:color w:val="000000" w:themeColor="text1"/>
        </w:rPr>
        <w:t xml:space="preserve">mentioned </w:t>
      </w:r>
      <w:r w:rsidR="00460C0B" w:rsidRPr="00993C92">
        <w:rPr>
          <w:color w:val="000000" w:themeColor="text1"/>
        </w:rPr>
        <w:t>in the section “Ig responses against food associate with and predict age, gender, and dietary intake”</w:t>
      </w:r>
      <w:r w:rsidR="004555DB" w:rsidRPr="00993C92">
        <w:rPr>
          <w:color w:val="000000" w:themeColor="text1"/>
        </w:rPr>
        <w:t>.</w:t>
      </w:r>
    </w:p>
    <w:p w14:paraId="127A21D5" w14:textId="1B4C153F" w:rsidR="005F0915" w:rsidRPr="00993C92" w:rsidRDefault="005F0915" w:rsidP="00912087">
      <w:pPr>
        <w:spacing w:after="120" w:line="257" w:lineRule="auto"/>
        <w:jc w:val="both"/>
        <w:rPr>
          <w:color w:val="0D0D0D" w:themeColor="text1" w:themeTint="F2"/>
        </w:rPr>
      </w:pPr>
      <w:r w:rsidRPr="00993C92">
        <w:rPr>
          <w:color w:val="000000" w:themeColor="text1"/>
        </w:rPr>
        <w:t xml:space="preserve">While providing statistically highly significant associations, our study does not shed light on a causal </w:t>
      </w:r>
      <w:r w:rsidR="00332EDC" w:rsidRPr="00993C92">
        <w:rPr>
          <w:color w:val="000000" w:themeColor="text1"/>
        </w:rPr>
        <w:t xml:space="preserve">role of the uptake of dietary antigens eliciting the </w:t>
      </w:r>
      <w:r w:rsidR="00332EDC" w:rsidRPr="00993C92">
        <w:rPr>
          <w:color w:val="0D0D0D" w:themeColor="text1" w:themeTint="F2"/>
        </w:rPr>
        <w:t>respective detected antibody</w:t>
      </w:r>
      <w:r w:rsidRPr="00993C92">
        <w:rPr>
          <w:color w:val="0D0D0D" w:themeColor="text1" w:themeTint="F2"/>
        </w:rPr>
        <w:t xml:space="preserve"> responses</w:t>
      </w:r>
      <w:r w:rsidR="00332EDC" w:rsidRPr="00993C92">
        <w:rPr>
          <w:color w:val="0D0D0D" w:themeColor="text1" w:themeTint="F2"/>
        </w:rPr>
        <w:t xml:space="preserve">. Demonstrating such effects would require a longitudinal controlled feeding study, that appears </w:t>
      </w:r>
      <w:r w:rsidR="00332EDC" w:rsidRPr="00993C92">
        <w:rPr>
          <w:rFonts w:eastAsia="Times New Roman" w:cstheme="minorHAnsi"/>
          <w:color w:val="0D0D0D" w:themeColor="text1" w:themeTint="F2"/>
        </w:rPr>
        <w:t xml:space="preserve">for a number of reasons challenging to carry out on such a large cohort of humans </w:t>
      </w:r>
      <w:r w:rsidR="000148AF" w:rsidRPr="00993C92">
        <w:rPr>
          <w:rFonts w:eastAsia="Times New Roman" w:cstheme="minorHAnsi"/>
          <w:color w:val="0D0D0D" w:themeColor="text1" w:themeTint="F2"/>
        </w:rPr>
        <w:t xml:space="preserve">as </w:t>
      </w:r>
      <w:r w:rsidR="00332EDC" w:rsidRPr="00993C92">
        <w:rPr>
          <w:rFonts w:eastAsia="Times New Roman" w:cstheme="minorHAnsi"/>
          <w:color w:val="0D0D0D" w:themeColor="text1" w:themeTint="F2"/>
        </w:rPr>
        <w:t>studied in this work.</w:t>
      </w:r>
      <w:bookmarkEnd w:id="18"/>
    </w:p>
    <w:bookmarkEnd w:id="17"/>
    <w:p w14:paraId="7AA7CA22" w14:textId="50CF3291" w:rsidR="003425D5" w:rsidRPr="00993C92" w:rsidRDefault="003425D5" w:rsidP="003425D5">
      <w:pPr>
        <w:jc w:val="both"/>
        <w:rPr>
          <w:color w:val="000000" w:themeColor="text1"/>
        </w:rPr>
      </w:pPr>
      <w:r w:rsidRPr="00993C92">
        <w:rPr>
          <w:color w:val="000000" w:themeColor="text1"/>
        </w:rPr>
        <w:t>Re</w:t>
      </w:r>
      <w:r w:rsidR="00DA29F9" w:rsidRPr="00993C92">
        <w:rPr>
          <w:color w:val="000000" w:themeColor="text1"/>
        </w:rPr>
        <w:t xml:space="preserve">garding </w:t>
      </w:r>
      <w:r w:rsidRPr="00993C92">
        <w:rPr>
          <w:color w:val="000000" w:themeColor="text1"/>
        </w:rPr>
        <w:t>the machine learning analyses to predict age, sex, etc., no independent validation cohorts were available to better assess the predictive power of the peptides found to be predictive. Few cohorts worldwide are as deeply profiled as the one studied in this work, especially relating to dietary intake. Running a validation cohort to reach the statistical power required, would also be affected by cost considerations. The analys</w:t>
      </w:r>
      <w:r w:rsidR="00DA29F9" w:rsidRPr="00993C92">
        <w:rPr>
          <w:color w:val="000000" w:themeColor="text1"/>
        </w:rPr>
        <w:t>e</w:t>
      </w:r>
      <w:r w:rsidRPr="00993C92">
        <w:rPr>
          <w:color w:val="000000" w:themeColor="text1"/>
        </w:rPr>
        <w:t xml:space="preserve">s </w:t>
      </w:r>
      <w:r w:rsidR="00DA29F9" w:rsidRPr="00993C92">
        <w:rPr>
          <w:color w:val="000000" w:themeColor="text1"/>
        </w:rPr>
        <w:t>in</w:t>
      </w:r>
      <w:r w:rsidRPr="00993C92">
        <w:rPr>
          <w:color w:val="000000" w:themeColor="text1"/>
        </w:rPr>
        <w:t xml:space="preserve"> this work are corroborated by 10-fold cross-validations, providing robustness and assessing the predictive power over the held-out fold.</w:t>
      </w:r>
    </w:p>
    <w:p w14:paraId="2FC2BF9E" w14:textId="1CDD8098" w:rsidR="00F73985" w:rsidRPr="00993C92" w:rsidRDefault="00F73985" w:rsidP="00BD3C32">
      <w:pPr>
        <w:jc w:val="both"/>
        <w:rPr>
          <w:color w:val="000000" w:themeColor="text1"/>
        </w:rPr>
      </w:pPr>
      <w:r w:rsidRPr="00993C92">
        <w:rPr>
          <w:color w:val="000000" w:themeColor="text1"/>
        </w:rPr>
        <w:t xml:space="preserve">Relating to technical limitations of the underlying PhIP-Seq technology, antibody responses against carbohydrates (such as starch, fibers, sugar) or lipids would be missed by PhIP-Seq, as these libraries only cover peptide antigens. This relates to general </w:t>
      </w:r>
      <w:r w:rsidR="009454BF" w:rsidRPr="00993C92">
        <w:rPr>
          <w:color w:val="000000" w:themeColor="text1"/>
        </w:rPr>
        <w:t>caveats of</w:t>
      </w:r>
      <w:r w:rsidRPr="00993C92">
        <w:rPr>
          <w:color w:val="000000" w:themeColor="text1"/>
        </w:rPr>
        <w:t xml:space="preserve"> using PhIP-Seq, as has previously been discussed in depth </w:t>
      </w:r>
      <w:r w:rsidR="00282B43" w:rsidRPr="00993C92">
        <w:rPr>
          <w:noProof/>
          <w:color w:val="000000" w:themeColor="text1"/>
        </w:rPr>
        <w:t>(Mohan et al., 2018)</w:t>
      </w:r>
      <w:r w:rsidRPr="00993C92">
        <w:rPr>
          <w:color w:val="000000" w:themeColor="text1"/>
        </w:rPr>
        <w:t xml:space="preserve">. In short, limitations of PhIP-Seq include the length of displayed peptides, folding issues, and missing posttranslational modifications (PTMs), amongst others </w:t>
      </w:r>
      <w:r w:rsidR="00282B43" w:rsidRPr="00993C92">
        <w:rPr>
          <w:noProof/>
          <w:color w:val="000000" w:themeColor="text1"/>
        </w:rPr>
        <w:t>(Mohan et al., 2018)</w:t>
      </w:r>
      <w:r w:rsidRPr="00993C92">
        <w:rPr>
          <w:color w:val="000000" w:themeColor="text1"/>
        </w:rPr>
        <w:t xml:space="preserve">. One commonly stated issue with PhIP-Seq may be less critical in the context of food directed antibody responses: The length of PhIP-Seq displayed peptides is constrained by DNA synthesis of the oligos encoding the underlying peptides (max. 54 amino acids in our study). Hence, larger conformational epitopes may be missed because of this length issues (although also other factors such as incorrect folding or missing PTMs can lead to missing signals against conformational epitopes). Yet, as food proteins are proteolytically degraded in the intestines, fragments reaching systemic circulation may </w:t>
      </w:r>
      <w:r w:rsidR="006C52CE" w:rsidRPr="00993C92">
        <w:rPr>
          <w:color w:val="000000" w:themeColor="text1"/>
        </w:rPr>
        <w:t xml:space="preserve">have already been broken down to mainly linear </w:t>
      </w:r>
      <w:r w:rsidRPr="00993C92">
        <w:rPr>
          <w:color w:val="000000" w:themeColor="text1"/>
        </w:rPr>
        <w:t xml:space="preserve">epitopes (depending on the definition, between 5 to 20 aa </w:t>
      </w:r>
      <w:r w:rsidR="00282B43" w:rsidRPr="00993C92">
        <w:rPr>
          <w:noProof/>
          <w:color w:val="000000" w:themeColor="text1"/>
        </w:rPr>
        <w:t>(Berglund et al., 2008; Forsström et al., 2014, 2015)</w:t>
      </w:r>
      <w:r w:rsidRPr="00993C92">
        <w:rPr>
          <w:color w:val="000000" w:themeColor="text1"/>
        </w:rPr>
        <w:t>), that would be completely represented by our chosen display strategy. In this respect, it is also noteworthy that in many cases several peptides per food protein or several peptides of similar sequences were bound by antibodies at near identical frequencies supporting a high sensitivity and reproducibility of our PhIP-Seq implementation.</w:t>
      </w:r>
    </w:p>
    <w:p w14:paraId="0E6CFBA3" w14:textId="6C49EDFC" w:rsidR="009F7CCE" w:rsidRPr="00993C92" w:rsidRDefault="009F7CCE">
      <w:pPr>
        <w:spacing w:line="259" w:lineRule="auto"/>
        <w:rPr>
          <w:color w:val="000000" w:themeColor="text1"/>
        </w:rPr>
      </w:pPr>
      <w:r w:rsidRPr="00993C92">
        <w:rPr>
          <w:color w:val="000000" w:themeColor="text1"/>
        </w:rPr>
        <w:br w:type="page"/>
      </w:r>
    </w:p>
    <w:p w14:paraId="778F4477" w14:textId="4E3A640A" w:rsidR="00DC7EED" w:rsidRPr="00993C92" w:rsidRDefault="00653903" w:rsidP="0098282B">
      <w:pPr>
        <w:pStyle w:val="Heading1"/>
        <w:rPr>
          <w:color w:val="000000" w:themeColor="text1"/>
        </w:rPr>
      </w:pPr>
      <w:r w:rsidRPr="00993C92">
        <w:rPr>
          <w:color w:val="000000" w:themeColor="text1"/>
        </w:rPr>
        <w:lastRenderedPageBreak/>
        <w:t>STAR m</w:t>
      </w:r>
      <w:r w:rsidR="00DC7EED" w:rsidRPr="00993C92">
        <w:rPr>
          <w:color w:val="000000" w:themeColor="text1"/>
        </w:rPr>
        <w:t>ethods</w:t>
      </w:r>
    </w:p>
    <w:p w14:paraId="29229B87" w14:textId="2EB67C59" w:rsidR="00A336FF" w:rsidRPr="00993C92" w:rsidRDefault="00A336FF" w:rsidP="00A336FF">
      <w:pPr>
        <w:pStyle w:val="Heading2"/>
      </w:pPr>
      <w:r w:rsidRPr="00993C92">
        <w:t>Key resource table</w:t>
      </w:r>
    </w:p>
    <w:p w14:paraId="29CD379A" w14:textId="5367FD95" w:rsidR="00056C6B" w:rsidRPr="00993C92" w:rsidRDefault="00056C6B" w:rsidP="00056C6B"/>
    <w:p w14:paraId="57781611" w14:textId="009FD639" w:rsidR="00056C6B" w:rsidRPr="00993C92" w:rsidRDefault="00056C6B" w:rsidP="00775187">
      <w:r w:rsidRPr="00993C92">
        <w:t>Uploaded as separate file.</w:t>
      </w:r>
    </w:p>
    <w:p w14:paraId="5E381C00" w14:textId="692EFAF9" w:rsidR="00A336FF" w:rsidRPr="00993C92" w:rsidRDefault="00A336FF">
      <w:pPr>
        <w:spacing w:line="259" w:lineRule="auto"/>
      </w:pPr>
      <w:r w:rsidRPr="00993C92">
        <w:br w:type="page"/>
      </w:r>
    </w:p>
    <w:p w14:paraId="4A5F1399" w14:textId="2CE2449C" w:rsidR="00A336FF" w:rsidRPr="00993C92" w:rsidRDefault="00A336FF" w:rsidP="00A336FF">
      <w:pPr>
        <w:pStyle w:val="Heading2"/>
      </w:pPr>
      <w:r w:rsidRPr="00993C92">
        <w:lastRenderedPageBreak/>
        <w:t>Resource availability</w:t>
      </w:r>
    </w:p>
    <w:p w14:paraId="4481B58E" w14:textId="77777777" w:rsidR="00A336FF" w:rsidRPr="00993C92" w:rsidRDefault="00A336FF" w:rsidP="00775187">
      <w:pPr>
        <w:pStyle w:val="Heading3"/>
      </w:pPr>
      <w:r w:rsidRPr="00993C92">
        <w:t>Lead contact</w:t>
      </w:r>
    </w:p>
    <w:p w14:paraId="42B93731" w14:textId="44E4B701" w:rsidR="00A336FF" w:rsidRPr="00993C92" w:rsidRDefault="00A336FF" w:rsidP="00A336FF">
      <w:r w:rsidRPr="00993C92">
        <w:t>Further information and requests for resources should be directed to and will be coordinated by the lead contact Thomas Vogl (</w:t>
      </w:r>
      <w:r w:rsidRPr="00C72250">
        <w:t>thomas.vogl@meduniwien.ac.at</w:t>
      </w:r>
      <w:r w:rsidRPr="00993C92">
        <w:t>).</w:t>
      </w:r>
    </w:p>
    <w:p w14:paraId="4489D36F" w14:textId="77777777" w:rsidR="00A336FF" w:rsidRPr="00993C92" w:rsidRDefault="00A336FF" w:rsidP="00A336FF"/>
    <w:p w14:paraId="7F6EF1F4" w14:textId="5E1DE720" w:rsidR="00A336FF" w:rsidRPr="00993C92" w:rsidRDefault="00A336FF" w:rsidP="00775187">
      <w:pPr>
        <w:pStyle w:val="Heading3"/>
      </w:pPr>
      <w:r w:rsidRPr="00993C92">
        <w:t>Materials</w:t>
      </w:r>
      <w:r w:rsidR="00C205EA">
        <w:t xml:space="preserve"> availability</w:t>
      </w:r>
    </w:p>
    <w:p w14:paraId="402FF067" w14:textId="77291503" w:rsidR="00A336FF" w:rsidRPr="00993C92" w:rsidRDefault="00A336FF" w:rsidP="00A336FF">
      <w:r w:rsidRPr="00993C92">
        <w:t>The phage library is available upon request.</w:t>
      </w:r>
    </w:p>
    <w:p w14:paraId="116630C4" w14:textId="2830458E" w:rsidR="00A336FF" w:rsidRPr="00993C92" w:rsidRDefault="00A336FF" w:rsidP="00A336FF"/>
    <w:p w14:paraId="5762C877" w14:textId="1F8579E3" w:rsidR="00A336FF" w:rsidRPr="00993C92" w:rsidRDefault="00A336FF" w:rsidP="00775187">
      <w:pPr>
        <w:pStyle w:val="Heading3"/>
      </w:pPr>
      <w:r w:rsidRPr="00993C92">
        <w:t>Data</w:t>
      </w:r>
      <w:r w:rsidR="00C205EA">
        <w:t xml:space="preserve"> and </w:t>
      </w:r>
      <w:r w:rsidRPr="00993C92">
        <w:t xml:space="preserve">Code availability </w:t>
      </w:r>
    </w:p>
    <w:p w14:paraId="5B6BE92D" w14:textId="358D2625" w:rsidR="00225D1A" w:rsidRPr="007C548C" w:rsidRDefault="00225D1A" w:rsidP="007C548C">
      <w:pPr>
        <w:pStyle w:val="ListParagraph"/>
        <w:numPr>
          <w:ilvl w:val="0"/>
          <w:numId w:val="46"/>
        </w:numPr>
        <w:spacing w:after="0" w:line="254" w:lineRule="auto"/>
        <w:jc w:val="both"/>
        <w:rPr>
          <w:color w:val="000000"/>
        </w:rPr>
      </w:pPr>
      <w:r w:rsidRPr="007C548C">
        <w:rPr>
          <w:color w:val="000000"/>
        </w:rPr>
        <w:t>The majority of data generated or analyzed during this study are included with the manuscript (and its supplementary information files) or deposited in publicly available databases</w:t>
      </w:r>
      <w:r w:rsidR="006324C2">
        <w:rPr>
          <w:color w:val="000000"/>
        </w:rPr>
        <w:t>. DOIs to access these datasets are provided in the key resource table.</w:t>
      </w:r>
      <w:r w:rsidR="00195619" w:rsidRPr="007C548C">
        <w:rPr>
          <w:color w:val="000000"/>
        </w:rPr>
        <w:t xml:space="preserve"> </w:t>
      </w:r>
      <w:r w:rsidRPr="007C548C">
        <w:rPr>
          <w:color w:val="000000"/>
        </w:rPr>
        <w:t>Th</w:t>
      </w:r>
      <w:r w:rsidR="008E6D7A" w:rsidRPr="007C548C">
        <w:rPr>
          <w:color w:val="000000"/>
        </w:rPr>
        <w:t xml:space="preserve">e figshare </w:t>
      </w:r>
      <w:r w:rsidRPr="007C548C">
        <w:rPr>
          <w:color w:val="000000"/>
        </w:rPr>
        <w:t>directory contains details on the antigen library (library_contents.csv), the cohort (cohort.csv), as well as antibody binding data of all individuals (fold_data.csv).</w:t>
      </w:r>
      <w:r w:rsidR="00C205EA" w:rsidRPr="007C548C">
        <w:rPr>
          <w:color w:val="000000"/>
        </w:rPr>
        <w:t xml:space="preserve"> Raw data for the PhIP-Seq experiments are deposited in the Harvard Dataverse public repository.</w:t>
      </w:r>
    </w:p>
    <w:p w14:paraId="3BB18DCE" w14:textId="77777777" w:rsidR="007C548C" w:rsidRPr="007C548C" w:rsidRDefault="00225D1A" w:rsidP="00BC2D4F">
      <w:pPr>
        <w:pStyle w:val="ListParagraph"/>
        <w:numPr>
          <w:ilvl w:val="0"/>
          <w:numId w:val="45"/>
        </w:numPr>
        <w:spacing w:before="100" w:beforeAutospacing="1" w:after="100" w:afterAutospacing="1" w:line="240" w:lineRule="auto"/>
        <w:jc w:val="both"/>
        <w:rPr>
          <w:rFonts w:ascii="SymbolMT" w:eastAsia="Times New Roman" w:hAnsi="SymbolMT" w:cs="Times New Roman"/>
          <w:sz w:val="20"/>
          <w:szCs w:val="20"/>
        </w:rPr>
      </w:pPr>
      <w:r w:rsidRPr="007C548C">
        <w:rPr>
          <w:color w:val="000000"/>
        </w:rPr>
        <w:t>Custom code for analyses is</w:t>
      </w:r>
      <w:r w:rsidR="003262C9" w:rsidRPr="007C548C">
        <w:rPr>
          <w:color w:val="000000"/>
        </w:rPr>
        <w:t xml:space="preserve"> also</w:t>
      </w:r>
      <w:r w:rsidRPr="007C548C">
        <w:rPr>
          <w:color w:val="000000"/>
        </w:rPr>
        <w:t xml:space="preserve"> available </w:t>
      </w:r>
      <w:r w:rsidR="003262C9" w:rsidRPr="007C548C">
        <w:rPr>
          <w:color w:val="000000"/>
        </w:rPr>
        <w:t>via a DOI to a GitHub repository.</w:t>
      </w:r>
    </w:p>
    <w:p w14:paraId="78E641E2" w14:textId="661E83C2" w:rsidR="00C205EA" w:rsidRPr="007C548C" w:rsidRDefault="00C205EA" w:rsidP="00BC2D4F">
      <w:pPr>
        <w:pStyle w:val="ListParagraph"/>
        <w:numPr>
          <w:ilvl w:val="0"/>
          <w:numId w:val="45"/>
        </w:numPr>
        <w:spacing w:before="100" w:beforeAutospacing="1" w:after="100" w:afterAutospacing="1" w:line="240" w:lineRule="auto"/>
        <w:jc w:val="both"/>
        <w:rPr>
          <w:rFonts w:ascii="SymbolMT" w:eastAsia="Times New Roman" w:hAnsi="SymbolMT" w:cs="Times New Roman"/>
          <w:sz w:val="20"/>
          <w:szCs w:val="20"/>
        </w:rPr>
      </w:pPr>
      <w:r w:rsidRPr="007C548C">
        <w:rPr>
          <w:rFonts w:ascii="ArialMT" w:eastAsia="Times New Roman" w:hAnsi="ArialMT" w:cs="Times New Roman"/>
          <w:sz w:val="20"/>
          <w:szCs w:val="20"/>
        </w:rPr>
        <w:t xml:space="preserve">Any additional information required to reanalyze the data reported in this paper is available from the lead contact upon request. </w:t>
      </w:r>
    </w:p>
    <w:p w14:paraId="7A027F5D" w14:textId="1BACC294" w:rsidR="00A336FF" w:rsidRPr="00993C92" w:rsidRDefault="00A336FF">
      <w:pPr>
        <w:spacing w:line="259" w:lineRule="auto"/>
      </w:pPr>
      <w:r w:rsidRPr="00993C92">
        <w:br w:type="page"/>
      </w:r>
    </w:p>
    <w:p w14:paraId="225375F9" w14:textId="77777777" w:rsidR="00AF6B21" w:rsidRPr="00993C92" w:rsidRDefault="00AF6B21" w:rsidP="00AF6B21">
      <w:pPr>
        <w:pStyle w:val="Heading2"/>
      </w:pPr>
      <w:r w:rsidRPr="00993C92">
        <w:lastRenderedPageBreak/>
        <w:t>EXPERIMENTAL MODEL AND SUBJECT DETAILS</w:t>
      </w:r>
    </w:p>
    <w:p w14:paraId="12A0741E" w14:textId="63BB30D7" w:rsidR="00A64168" w:rsidRPr="00993C92" w:rsidRDefault="00AF6B21" w:rsidP="00775187">
      <w:pPr>
        <w:pStyle w:val="Heading3"/>
      </w:pPr>
      <w:r w:rsidRPr="00993C92">
        <w:t xml:space="preserve">Human Cohorts (incl. </w:t>
      </w:r>
      <w:r w:rsidR="00A64168" w:rsidRPr="00993C92">
        <w:t>Serum samples, clinical data and metagenomics</w:t>
      </w:r>
      <w:r w:rsidRPr="00993C92">
        <w:t>)</w:t>
      </w:r>
    </w:p>
    <w:p w14:paraId="27630790" w14:textId="072A8028" w:rsidR="009715D1" w:rsidRPr="00993C92" w:rsidRDefault="009715D1" w:rsidP="00D51AC4">
      <w:pPr>
        <w:spacing w:after="120" w:line="257" w:lineRule="auto"/>
        <w:jc w:val="both"/>
        <w:rPr>
          <w:color w:val="000000" w:themeColor="text1"/>
        </w:rPr>
      </w:pPr>
      <w:r w:rsidRPr="00993C92">
        <w:rPr>
          <w:color w:val="000000" w:themeColor="text1"/>
        </w:rPr>
        <w:t>1,05</w:t>
      </w:r>
      <w:r w:rsidR="002D41EF" w:rsidRPr="00993C92">
        <w:rPr>
          <w:color w:val="000000" w:themeColor="text1"/>
        </w:rPr>
        <w:t>4</w:t>
      </w:r>
      <w:r w:rsidRPr="00993C92">
        <w:rPr>
          <w:color w:val="000000" w:themeColor="text1"/>
        </w:rPr>
        <w:t xml:space="preserve"> serum samples of 1,0</w:t>
      </w:r>
      <w:r w:rsidR="002D41EF" w:rsidRPr="00993C92">
        <w:rPr>
          <w:color w:val="000000" w:themeColor="text1"/>
        </w:rPr>
        <w:t>10</w:t>
      </w:r>
      <w:r w:rsidRPr="00993C92">
        <w:rPr>
          <w:color w:val="000000" w:themeColor="text1"/>
        </w:rPr>
        <w:t xml:space="preserve"> individuals had been collected in Israel in 2013/2014 for previous studies </w:t>
      </w:r>
      <w:r w:rsidR="00282B43" w:rsidRPr="00993C92">
        <w:rPr>
          <w:noProof/>
          <w:color w:val="000000" w:themeColor="text1"/>
        </w:rPr>
        <w:t>(Korem et al., 2017; Zeevi et al., 2015)</w:t>
      </w:r>
      <w:r w:rsidRPr="00993C92">
        <w:rPr>
          <w:color w:val="000000" w:themeColor="text1"/>
        </w:rPr>
        <w:t xml:space="preserve"> along with clinical and metagenomics data.</w:t>
      </w:r>
      <w:r w:rsidR="006D753F" w:rsidRPr="00993C92">
        <w:rPr>
          <w:color w:val="000000" w:themeColor="text1"/>
        </w:rPr>
        <w:t xml:space="preserve"> See </w:t>
      </w:r>
      <w:r w:rsidR="00282B43" w:rsidRPr="00993C92">
        <w:rPr>
          <w:noProof/>
          <w:color w:val="000000" w:themeColor="text1"/>
        </w:rPr>
        <w:t>(Zeevi et al., 2015)</w:t>
      </w:r>
      <w:r w:rsidR="006D753F" w:rsidRPr="00993C92">
        <w:rPr>
          <w:color w:val="000000" w:themeColor="text1"/>
        </w:rPr>
        <w:t xml:space="preserve"> for detailed recruitment criteria and cohort characteristics.</w:t>
      </w:r>
      <w:r w:rsidRPr="00993C92">
        <w:rPr>
          <w:color w:val="000000" w:themeColor="text1"/>
        </w:rPr>
        <w:t xml:space="preserve"> The 21</w:t>
      </w:r>
      <w:r w:rsidR="00D51AC4" w:rsidRPr="00993C92">
        <w:rPr>
          <w:color w:val="000000" w:themeColor="text1"/>
        </w:rPr>
        <w:t>4</w:t>
      </w:r>
      <w:r w:rsidRPr="00993C92">
        <w:rPr>
          <w:color w:val="000000" w:themeColor="text1"/>
        </w:rPr>
        <w:t xml:space="preserve"> longitudinal serum samples had been obtained from participants of one of the previous studies </w:t>
      </w:r>
      <w:r w:rsidR="00282B43" w:rsidRPr="00993C92">
        <w:rPr>
          <w:noProof/>
          <w:color w:val="000000" w:themeColor="text1"/>
        </w:rPr>
        <w:t>(Zeevi et al., 2015)</w:t>
      </w:r>
      <w:r w:rsidRPr="00993C92">
        <w:rPr>
          <w:color w:val="000000" w:themeColor="text1"/>
        </w:rPr>
        <w:t xml:space="preserve"> after ca. five years in 2019/2020. Research with these samples has been approved by the </w:t>
      </w:r>
      <w:bookmarkStart w:id="19" w:name="_Hlk52348900"/>
      <w:r w:rsidRPr="00993C92">
        <w:rPr>
          <w:color w:val="000000" w:themeColor="text1"/>
        </w:rPr>
        <w:t xml:space="preserve">Tel Aviv Sourasky Medical Center </w:t>
      </w:r>
      <w:r w:rsidRPr="00993C92">
        <w:rPr>
          <w:rFonts w:eastAsia="Times New Roman"/>
          <w:color w:val="000000" w:themeColor="text1"/>
        </w:rPr>
        <w:t>(#0658-12-TLV)</w:t>
      </w:r>
      <w:bookmarkEnd w:id="19"/>
      <w:r w:rsidRPr="00993C92">
        <w:rPr>
          <w:color w:val="000000" w:themeColor="text1"/>
        </w:rPr>
        <w:t xml:space="preserve"> and the Weizmann Institute of Science’s institutional review board (#1079-1) and the participants had consented to using the samples.</w:t>
      </w:r>
    </w:p>
    <w:p w14:paraId="290F154F" w14:textId="1617AC5A" w:rsidR="00AF6B21" w:rsidRPr="00993C92" w:rsidRDefault="00AF6B21" w:rsidP="00AF6B21">
      <w:pPr>
        <w:pStyle w:val="Heading2"/>
      </w:pPr>
      <w:r w:rsidRPr="00993C92">
        <w:t>METHOD DETAILS</w:t>
      </w:r>
    </w:p>
    <w:p w14:paraId="253BBCA8" w14:textId="37478491" w:rsidR="00AF6B21" w:rsidRPr="00993C92" w:rsidRDefault="00AF6B21" w:rsidP="00AF6B21">
      <w:pPr>
        <w:pStyle w:val="Heading3"/>
      </w:pPr>
      <w:r w:rsidRPr="00993C92">
        <w:t>Serum samples, clinical data and metagenomics</w:t>
      </w:r>
    </w:p>
    <w:p w14:paraId="4DB57628" w14:textId="54D4D8F8" w:rsidR="00303C35" w:rsidRPr="00993C92" w:rsidRDefault="00303C35" w:rsidP="00775187">
      <w:r w:rsidRPr="00993C92">
        <w:rPr>
          <w:color w:val="000000" w:themeColor="text1"/>
        </w:rPr>
        <w:t xml:space="preserve">Various phenotypes and blood test results were available for most (&gt;900 for phenotype/blood test) individuals </w:t>
      </w:r>
      <w:r w:rsidRPr="00993C92">
        <w:rPr>
          <w:noProof/>
          <w:color w:val="000000" w:themeColor="text1"/>
        </w:rPr>
        <w:t>(Zeevi et al., 2015)</w:t>
      </w:r>
      <w:r w:rsidRPr="00993C92">
        <w:rPr>
          <w:color w:val="000000" w:themeColor="text1"/>
        </w:rPr>
        <w:t>, with results of few tests missing for some individuals. We focused most of the antibody epitope repertoire analysis on baseline samples (1</w:t>
      </w:r>
      <w:r w:rsidRPr="00993C92">
        <w:rPr>
          <w:color w:val="000000" w:themeColor="text1"/>
          <w:vertAlign w:val="superscript"/>
        </w:rPr>
        <w:t>st</w:t>
      </w:r>
      <w:r w:rsidRPr="00993C92">
        <w:rPr>
          <w:color w:val="000000" w:themeColor="text1"/>
        </w:rPr>
        <w:t xml:space="preserve"> sample collected per individual). Seven samples did not pass the overall threshold (as applied in previous studies </w:t>
      </w:r>
      <w:r w:rsidRPr="00993C92">
        <w:rPr>
          <w:noProof/>
          <w:color w:val="000000" w:themeColor="text1"/>
        </w:rPr>
        <w:t>(Vogl et al., 2021)</w:t>
      </w:r>
      <w:r w:rsidRPr="00993C92">
        <w:rPr>
          <w:color w:val="000000" w:themeColor="text1"/>
        </w:rPr>
        <w:t>) of &gt;200 peptides significantly bound (after correction of batch effects, see below) and were excluded from analyses (see section ‘Data analysis’ below), leaving data of 1,003 individuals for the analysis.</w:t>
      </w:r>
    </w:p>
    <w:p w14:paraId="0E8616F4" w14:textId="4EFD6742" w:rsidR="0098282B" w:rsidRPr="00993C92" w:rsidRDefault="0098282B" w:rsidP="00775187">
      <w:pPr>
        <w:pStyle w:val="Heading3"/>
      </w:pPr>
      <w:r w:rsidRPr="00993C92">
        <w:t>Library content</w:t>
      </w:r>
    </w:p>
    <w:p w14:paraId="61F821A2" w14:textId="1EFE04D0" w:rsidR="00DC7EED" w:rsidRPr="00993C92" w:rsidRDefault="00DC7EED" w:rsidP="008D4839">
      <w:pPr>
        <w:spacing w:after="0" w:line="252" w:lineRule="auto"/>
        <w:jc w:val="both"/>
        <w:rPr>
          <w:color w:val="000000" w:themeColor="text1"/>
        </w:rPr>
      </w:pPr>
      <w:r w:rsidRPr="00993C92">
        <w:rPr>
          <w:color w:val="000000" w:themeColor="text1"/>
        </w:rPr>
        <w:t xml:space="preserve">In order to analyze the population wide reactivity to verity of known B cell antigens we have included immune epitopes from IEDB (immune epitope database, </w:t>
      </w:r>
      <w:r w:rsidRPr="00C72250">
        <w:t>https://www.iedb.org/</w:t>
      </w:r>
      <w:r w:rsidR="008D4839" w:rsidRPr="00993C92">
        <w:rPr>
          <w:rStyle w:val="Hyperlink"/>
          <w:color w:val="000000" w:themeColor="text1"/>
        </w:rPr>
        <w:t xml:space="preserve"> </w:t>
      </w:r>
      <w:r w:rsidR="00282B43" w:rsidRPr="00993C92">
        <w:rPr>
          <w:rStyle w:val="Hyperlink"/>
          <w:noProof/>
          <w:color w:val="000000" w:themeColor="text1"/>
          <w:u w:val="none"/>
        </w:rPr>
        <w:t>(Vita et al., 2015)</w:t>
      </w:r>
      <w:r w:rsidRPr="00993C92">
        <w:rPr>
          <w:color w:val="000000" w:themeColor="text1"/>
        </w:rPr>
        <w:t>).</w:t>
      </w:r>
    </w:p>
    <w:p w14:paraId="128A38AF" w14:textId="43333006" w:rsidR="008D4839" w:rsidRPr="00993C92" w:rsidRDefault="008D4839" w:rsidP="008D4839">
      <w:pPr>
        <w:spacing w:after="0" w:line="252" w:lineRule="auto"/>
        <w:jc w:val="both"/>
        <w:rPr>
          <w:color w:val="000000" w:themeColor="text1"/>
        </w:rPr>
      </w:pPr>
      <w:r w:rsidRPr="00993C92">
        <w:rPr>
          <w:color w:val="000000" w:themeColor="text1"/>
        </w:rPr>
        <w:t xml:space="preserve">For </w:t>
      </w:r>
      <w:r w:rsidR="00653903" w:rsidRPr="00993C92">
        <w:rPr>
          <w:color w:val="000000" w:themeColor="text1"/>
        </w:rPr>
        <w:t>one</w:t>
      </w:r>
      <w:r w:rsidRPr="00993C92">
        <w:rPr>
          <w:color w:val="000000" w:themeColor="text1"/>
        </w:rPr>
        <w:t xml:space="preserve"> part of the library, we took the full list of B cell antigens deposited in the IEDB as it was deposited online on the 14/01/2018 with the exception of non-human host, allergens (which were taken separately, for the second part of the library, at same the time) and Chagas disease epitopes. In all cases full proteins where taken, and not just the epitope(s) deposited in the IEDB.</w:t>
      </w:r>
    </w:p>
    <w:p w14:paraId="1153D5E6" w14:textId="47C7DB45" w:rsidR="008D4839" w:rsidRPr="00993C92" w:rsidRDefault="008D4839" w:rsidP="00781602">
      <w:pPr>
        <w:spacing w:after="0" w:line="252" w:lineRule="auto"/>
        <w:jc w:val="both"/>
        <w:rPr>
          <w:color w:val="000000" w:themeColor="text1"/>
        </w:rPr>
      </w:pPr>
      <w:r w:rsidRPr="00993C92">
        <w:rPr>
          <w:color w:val="000000" w:themeColor="text1"/>
        </w:rPr>
        <w:t>For the second part of the library, we focused on antigens known to cause allergic reaction in humans. We used sequences from six different databases. On top of the IEDB allergen list mentioned above, we downloaded the full proteins that were reported to cause allergies from:  WHO/IUIS Allergen Nomenclature Database (</w:t>
      </w:r>
      <w:r w:rsidRPr="00C72250">
        <w:t>www.allergen.org</w:t>
      </w:r>
      <w:r w:rsidRPr="00993C92">
        <w:rPr>
          <w:color w:val="000000" w:themeColor="text1"/>
        </w:rPr>
        <w:t xml:space="preserve">) </w:t>
      </w:r>
      <w:r w:rsidR="00282B43" w:rsidRPr="00C72250">
        <w:rPr>
          <w:noProof/>
          <w:color w:val="000000" w:themeColor="text1"/>
        </w:rPr>
        <w:t>(Radauer et al., 2014)</w:t>
      </w:r>
      <w:r w:rsidRPr="00C72250">
        <w:rPr>
          <w:color w:val="000000" w:themeColor="text1"/>
        </w:rPr>
        <w:t>, Allergome (</w:t>
      </w:r>
      <w:r w:rsidRPr="00C72250">
        <w:t>www.allergome.org</w:t>
      </w:r>
      <w:r w:rsidRPr="00C72250">
        <w:rPr>
          <w:color w:val="000000" w:themeColor="text1"/>
        </w:rPr>
        <w:t xml:space="preserve">) </w:t>
      </w:r>
      <w:r w:rsidR="00282B43" w:rsidRPr="00C72250">
        <w:rPr>
          <w:noProof/>
          <w:color w:val="000000" w:themeColor="text1"/>
        </w:rPr>
        <w:t>(Mari et al., 2006)</w:t>
      </w:r>
      <w:r w:rsidRPr="00C72250">
        <w:rPr>
          <w:color w:val="000000" w:themeColor="text1"/>
        </w:rPr>
        <w:t>, AllergenOnline (</w:t>
      </w:r>
      <w:r w:rsidRPr="00C72250">
        <w:t>www.allergenonline.org</w:t>
      </w:r>
      <w:r w:rsidRPr="00C72250">
        <w:rPr>
          <w:color w:val="000000" w:themeColor="text1"/>
        </w:rPr>
        <w:t xml:space="preserve">) </w:t>
      </w:r>
      <w:r w:rsidR="00282B43" w:rsidRPr="00993C92">
        <w:rPr>
          <w:noProof/>
          <w:color w:val="000000" w:themeColor="text1"/>
        </w:rPr>
        <w:t>(Goodman et al., 2016)</w:t>
      </w:r>
      <w:r w:rsidRPr="00993C92">
        <w:rPr>
          <w:color w:val="000000" w:themeColor="text1"/>
        </w:rPr>
        <w:t xml:space="preserve"> including the list of celiac proteins,  Structural Database of Allergenic Proteins (SDAP) (</w:t>
      </w:r>
      <w:r w:rsidRPr="00C72250">
        <w:t>fermi.utmb.edu</w:t>
      </w:r>
      <w:r w:rsidRPr="00993C92">
        <w:rPr>
          <w:color w:val="000000" w:themeColor="text1"/>
        </w:rPr>
        <w:t xml:space="preserve">) </w:t>
      </w:r>
      <w:r w:rsidR="00282B43" w:rsidRPr="00993C92">
        <w:rPr>
          <w:noProof/>
          <w:color w:val="000000" w:themeColor="text1"/>
        </w:rPr>
        <w:t>(Ivanciuc et al., 2003)</w:t>
      </w:r>
      <w:r w:rsidRPr="00993C92">
        <w:rPr>
          <w:color w:val="000000" w:themeColor="text1"/>
        </w:rPr>
        <w:t>, and Database of allergen families, AllFam (</w:t>
      </w:r>
      <w:r w:rsidRPr="00C72250">
        <w:t>www.meduniwien.ac.at/allfam/</w:t>
      </w:r>
      <w:r w:rsidRPr="00993C92">
        <w:rPr>
          <w:color w:val="000000" w:themeColor="text1"/>
        </w:rPr>
        <w:t xml:space="preserve">) </w:t>
      </w:r>
      <w:r w:rsidR="00282B43" w:rsidRPr="00993C92">
        <w:rPr>
          <w:noProof/>
          <w:color w:val="000000" w:themeColor="text1"/>
        </w:rPr>
        <w:t>(Radauer et al., 2008)</w:t>
      </w:r>
      <w:r w:rsidRPr="00993C92">
        <w:rPr>
          <w:color w:val="000000" w:themeColor="text1"/>
        </w:rPr>
        <w:t xml:space="preserve">. Additional allergenic helminth proteins were taken from Fitzsimmons </w:t>
      </w:r>
      <w:r w:rsidRPr="00993C92">
        <w:rPr>
          <w:i/>
          <w:color w:val="000000" w:themeColor="text1"/>
        </w:rPr>
        <w:t>et al</w:t>
      </w:r>
      <w:r w:rsidRPr="00993C92">
        <w:rPr>
          <w:color w:val="000000" w:themeColor="text1"/>
        </w:rPr>
        <w:t xml:space="preserve">. </w:t>
      </w:r>
      <w:r w:rsidR="00282B43" w:rsidRPr="00993C92">
        <w:rPr>
          <w:noProof/>
          <w:color w:val="000000" w:themeColor="text1"/>
        </w:rPr>
        <w:t>(Fitzsimmons et al., 2014)</w:t>
      </w:r>
      <w:r w:rsidRPr="00993C92">
        <w:rPr>
          <w:color w:val="000000" w:themeColor="text1"/>
        </w:rPr>
        <w:t xml:space="preserve">. </w:t>
      </w:r>
      <w:r w:rsidR="006C52CE" w:rsidRPr="00993C92">
        <w:rPr>
          <w:color w:val="000000" w:themeColor="text1"/>
        </w:rPr>
        <w:t>T</w:t>
      </w:r>
      <w:r w:rsidRPr="00993C92">
        <w:rPr>
          <w:color w:val="000000" w:themeColor="text1"/>
        </w:rPr>
        <w:t>o avoid redundancy, protein sequences that appeared in more than one database were only taken once.</w:t>
      </w:r>
      <w:r w:rsidR="00733DCB" w:rsidRPr="00993C92">
        <w:rPr>
          <w:color w:val="000000" w:themeColor="text1"/>
        </w:rPr>
        <w:t xml:space="preserve"> Regarding the term ‘human allergen’ in </w:t>
      </w:r>
      <w:r w:rsidR="00733DCB" w:rsidRPr="00993C92">
        <w:rPr>
          <w:color w:val="000000" w:themeColor="text1"/>
          <w:u w:val="single"/>
        </w:rPr>
        <w:t xml:space="preserve">Fig. </w:t>
      </w:r>
      <w:r w:rsidR="00733DCB" w:rsidRPr="00993C92">
        <w:rPr>
          <w:noProof/>
          <w:color w:val="000000" w:themeColor="text1"/>
          <w:u w:val="single"/>
        </w:rPr>
        <w:t>1</w:t>
      </w:r>
      <w:r w:rsidR="00733DCB" w:rsidRPr="00993C92">
        <w:rPr>
          <w:color w:val="000000" w:themeColor="text1"/>
        </w:rPr>
        <w:t xml:space="preserve">b, </w:t>
      </w:r>
      <w:r w:rsidR="00E86644" w:rsidRPr="00993C92">
        <w:rPr>
          <w:color w:val="000000" w:themeColor="text1"/>
        </w:rPr>
        <w:t xml:space="preserve">there are some cases reported, where allergic IgE binding against human self-antigens has been detected </w:t>
      </w:r>
      <w:r w:rsidR="00282B43" w:rsidRPr="00993C92">
        <w:rPr>
          <w:noProof/>
          <w:color w:val="000000" w:themeColor="text1"/>
        </w:rPr>
        <w:t>(Maurer et al., 2018; Sanjuan et al., 2016)</w:t>
      </w:r>
      <w:r w:rsidR="00E86644" w:rsidRPr="00993C92">
        <w:rPr>
          <w:color w:val="000000" w:themeColor="text1"/>
        </w:rPr>
        <w:t xml:space="preserve">. As these allergen databases are very </w:t>
      </w:r>
      <w:r w:rsidR="00653903" w:rsidRPr="00993C92">
        <w:rPr>
          <w:color w:val="000000" w:themeColor="text1"/>
        </w:rPr>
        <w:t>large</w:t>
      </w:r>
      <w:r w:rsidR="00E86644" w:rsidRPr="00993C92">
        <w:rPr>
          <w:color w:val="000000" w:themeColor="text1"/>
        </w:rPr>
        <w:t xml:space="preserve">, even these rare </w:t>
      </w:r>
      <w:r w:rsidR="00557D5C" w:rsidRPr="00993C92">
        <w:rPr>
          <w:color w:val="000000" w:themeColor="text1"/>
        </w:rPr>
        <w:t>events</w:t>
      </w:r>
      <w:r w:rsidR="00E86644" w:rsidRPr="00993C92">
        <w:rPr>
          <w:color w:val="000000" w:themeColor="text1"/>
        </w:rPr>
        <w:t xml:space="preserve"> are documented and we included them by taking the entire database.</w:t>
      </w:r>
    </w:p>
    <w:p w14:paraId="1BD416A5" w14:textId="74DB963C" w:rsidR="00DC7EED" w:rsidRPr="00993C92" w:rsidRDefault="00DC7EED" w:rsidP="00781602">
      <w:pPr>
        <w:spacing w:after="0" w:line="252" w:lineRule="auto"/>
        <w:jc w:val="both"/>
        <w:rPr>
          <w:color w:val="000000" w:themeColor="text1"/>
        </w:rPr>
      </w:pPr>
      <w:r w:rsidRPr="00993C92">
        <w:rPr>
          <w:color w:val="000000" w:themeColor="text1"/>
        </w:rPr>
        <w:t>In order to make the interpretation of the data easier, we further annotated the allergenic proteins. In addition to the species scientific name of the protein, we have also added the common name of the species. We have characterized the proteins by their sources: plant, animal, insect, bacteria or human. Proteins that are consumed as foods/common foods regarding the Israeli diet were marked as such. Finally, we have indicated the routes of exposure: digestion, inhalation or skin contact.</w:t>
      </w:r>
      <w:r w:rsidR="00781602" w:rsidRPr="00993C92">
        <w:rPr>
          <w:color w:val="000000" w:themeColor="text1"/>
        </w:rPr>
        <w:t xml:space="preserve"> The routes of inhalation and skin contact appear rather irrelevant for food proteins, but for some plants such as apples, both proteins from the fruit body (intake by digestion) as well as pollen (inhalation) were included in our PhIP-seq library and were annotated as such by the allergen databases. In our classification, apples are food items including all proteins and thereby both annotations are listed. </w:t>
      </w:r>
      <w:r w:rsidR="00781602" w:rsidRPr="00993C92">
        <w:rPr>
          <w:color w:val="000000" w:themeColor="text1"/>
        </w:rPr>
        <w:lastRenderedPageBreak/>
        <w:t>Disentangling this for thousands of proteins (without proper annotations in the databases) is challenging, hence we have left in the original annotations.</w:t>
      </w:r>
    </w:p>
    <w:p w14:paraId="7AEAC502" w14:textId="019B4961" w:rsidR="004E3F55" w:rsidRPr="00993C92" w:rsidRDefault="004E3F55" w:rsidP="00775187">
      <w:pPr>
        <w:pStyle w:val="Heading3"/>
      </w:pPr>
      <w:r w:rsidRPr="00993C92">
        <w:t>Encoding of proteins into peptides</w:t>
      </w:r>
    </w:p>
    <w:p w14:paraId="0EDE26CB" w14:textId="7688F96B" w:rsidR="002F2AA9" w:rsidRPr="00993C92" w:rsidRDefault="00653903" w:rsidP="002F2AA9">
      <w:pPr>
        <w:spacing w:after="0" w:line="257" w:lineRule="auto"/>
        <w:jc w:val="both"/>
        <w:rPr>
          <w:color w:val="000000" w:themeColor="text1"/>
        </w:rPr>
      </w:pPr>
      <w:r w:rsidRPr="00993C92">
        <w:rPr>
          <w:color w:val="000000" w:themeColor="text1"/>
        </w:rPr>
        <w:t>A</w:t>
      </w:r>
      <w:r w:rsidR="002F2AA9" w:rsidRPr="00993C92">
        <w:rPr>
          <w:color w:val="000000" w:themeColor="text1"/>
        </w:rPr>
        <w:t xml:space="preserve">ll proteins were split into 54 aa long peptides, with 20 aa overlap, so that every 21 aa length stretch of amino acids will appear in at least one such peptide. These peptides were encoded into DNA, using the </w:t>
      </w:r>
      <w:r w:rsidR="002F2AA9" w:rsidRPr="00993C92">
        <w:rPr>
          <w:i/>
          <w:color w:val="000000" w:themeColor="text1"/>
        </w:rPr>
        <w:t>E. Coli</w:t>
      </w:r>
      <w:r w:rsidR="002F2AA9" w:rsidRPr="00993C92">
        <w:rPr>
          <w:color w:val="000000" w:themeColor="text1"/>
        </w:rPr>
        <w:t xml:space="preserve"> codon usage table and probabilities, with a few restrictions on translation, including avoiding of restriction sites and creating a unique barcode of length 44 / 75 nts</w:t>
      </w:r>
      <w:r w:rsidR="00CC18AE" w:rsidRPr="00993C92">
        <w:rPr>
          <w:color w:val="000000" w:themeColor="text1"/>
        </w:rPr>
        <w:t xml:space="preserve"> </w:t>
      </w:r>
      <w:r w:rsidR="00282B43" w:rsidRPr="00993C92">
        <w:rPr>
          <w:noProof/>
          <w:color w:val="000000" w:themeColor="text1"/>
        </w:rPr>
        <w:t>(Vogl et al., 2021)</w:t>
      </w:r>
      <w:r w:rsidR="002F2AA9" w:rsidRPr="00993C92">
        <w:rPr>
          <w:color w:val="000000" w:themeColor="text1"/>
        </w:rPr>
        <w:t xml:space="preserve"> at the 3' end, which is at hamming distance 3 / 5 from any other barcode, so that it allows to identify the peptide even with 1 / 2 errors, by sequencing its last 44 / 75 bps. If the coding produced a DNA sequence which did not match these criteria the peptide was recoded until success (see ref. see </w:t>
      </w:r>
      <w:r w:rsidR="00282B43" w:rsidRPr="00993C92">
        <w:rPr>
          <w:noProof/>
          <w:color w:val="000000" w:themeColor="text1"/>
        </w:rPr>
        <w:t>(Vogl et al., 2021)</w:t>
      </w:r>
      <w:r w:rsidR="002F2AA9" w:rsidRPr="00993C92">
        <w:rPr>
          <w:color w:val="000000" w:themeColor="text1"/>
        </w:rPr>
        <w:t xml:space="preserve"> for details).</w:t>
      </w:r>
    </w:p>
    <w:p w14:paraId="1E23DCBE" w14:textId="3526898F" w:rsidR="004E3F55" w:rsidRPr="00993C92" w:rsidRDefault="002F2AA9" w:rsidP="002F2AA9">
      <w:pPr>
        <w:spacing w:after="0" w:line="257" w:lineRule="auto"/>
        <w:jc w:val="both"/>
        <w:rPr>
          <w:color w:val="000000" w:themeColor="text1"/>
        </w:rPr>
      </w:pPr>
      <w:r w:rsidRPr="00993C92">
        <w:rPr>
          <w:color w:val="000000" w:themeColor="text1"/>
        </w:rPr>
        <w:t>Since many of the proteins</w:t>
      </w:r>
      <w:r w:rsidR="00514093" w:rsidRPr="00993C92">
        <w:rPr>
          <w:color w:val="000000" w:themeColor="text1"/>
        </w:rPr>
        <w:t xml:space="preserve"> from allergen databases</w:t>
      </w:r>
      <w:r w:rsidRPr="00993C92">
        <w:rPr>
          <w:color w:val="000000" w:themeColor="text1"/>
        </w:rPr>
        <w:t xml:space="preserve"> (the second part of the library) are very close to each other in amino acid sequence (such as different glutenin proteins of different types of cereal</w:t>
      </w:r>
      <w:r w:rsidR="00FF473C" w:rsidRPr="00993C92">
        <w:rPr>
          <w:color w:val="000000" w:themeColor="text1"/>
        </w:rPr>
        <w:t>s</w:t>
      </w:r>
      <w:r w:rsidRPr="00993C92">
        <w:rPr>
          <w:color w:val="000000" w:themeColor="text1"/>
        </w:rPr>
        <w:t>), we clustered all allergen proteins using cd-hit at 70% identity. Overall, 6,107 protein sequences were split into 1,334 clusters. For each cluster we took the full sequence of the lead protein, and only parts with a difference in the amino-acid sequence from all other proteins, so that every stretch of 21 aa from any of the original proteins in the set will be represented in our final peptide set. These full proteins, and differential peptides, were encoded (including barcode</w:t>
      </w:r>
      <w:r w:rsidR="00E65696" w:rsidRPr="00993C92">
        <w:rPr>
          <w:color w:val="000000" w:themeColor="text1"/>
        </w:rPr>
        <w:t>s</w:t>
      </w:r>
      <w:r w:rsidRPr="00993C92">
        <w:rPr>
          <w:color w:val="000000" w:themeColor="text1"/>
        </w:rPr>
        <w:t xml:space="preserve">) as </w:t>
      </w:r>
      <w:r w:rsidR="00E65696" w:rsidRPr="00993C92">
        <w:rPr>
          <w:color w:val="000000" w:themeColor="text1"/>
        </w:rPr>
        <w:t xml:space="preserve">outlined </w:t>
      </w:r>
      <w:r w:rsidRPr="00993C92">
        <w:rPr>
          <w:color w:val="000000" w:themeColor="text1"/>
        </w:rPr>
        <w:t>above.</w:t>
      </w:r>
    </w:p>
    <w:p w14:paraId="37B85DB0" w14:textId="6B87DA07" w:rsidR="002F2AA9" w:rsidRPr="00993C92" w:rsidRDefault="002F2AA9" w:rsidP="00A57F9F">
      <w:pPr>
        <w:spacing w:after="120" w:line="257" w:lineRule="auto"/>
        <w:jc w:val="both"/>
        <w:rPr>
          <w:color w:val="000000" w:themeColor="text1"/>
        </w:rPr>
      </w:pPr>
      <w:r w:rsidRPr="00993C92">
        <w:rPr>
          <w:color w:val="000000" w:themeColor="text1"/>
        </w:rPr>
        <w:t>The oligo library was ordered from Twist Bioscience as a 200-mer pool (library amplification primers: fwd, GATGCGCCGTGGGAATTCT; rev, GTCGGGTGGCAAGCTTTCA) and cloned into T7 phages following the manufacturers recommendations (Merck, T7Select 10-3 cloning kit, product no. 70550-3).</w:t>
      </w:r>
    </w:p>
    <w:p w14:paraId="549B197A" w14:textId="23DDAB67" w:rsidR="00DC7EED" w:rsidRPr="00993C92" w:rsidRDefault="00DC7EED" w:rsidP="00775187">
      <w:pPr>
        <w:pStyle w:val="Heading3"/>
      </w:pPr>
      <w:r w:rsidRPr="00993C92">
        <w:t>Batch and FC correction</w:t>
      </w:r>
    </w:p>
    <w:p w14:paraId="3E825298" w14:textId="6AD8E657" w:rsidR="00CF0C02" w:rsidRPr="00993C92" w:rsidRDefault="00CF0C02" w:rsidP="00CF0C02">
      <w:pPr>
        <w:spacing w:after="0" w:line="240" w:lineRule="auto"/>
        <w:rPr>
          <w:color w:val="000000" w:themeColor="text1"/>
          <w:u w:val="single"/>
        </w:rPr>
      </w:pPr>
      <w:r w:rsidRPr="00993C92">
        <w:rPr>
          <w:color w:val="000000" w:themeColor="text1"/>
          <w:u w:val="single"/>
        </w:rPr>
        <w:t>Initial Scoring</w:t>
      </w:r>
      <w:r w:rsidR="0032561D" w:rsidRPr="00993C92">
        <w:rPr>
          <w:color w:val="000000" w:themeColor="text1"/>
          <w:u w:val="single"/>
        </w:rPr>
        <w:t xml:space="preserve"> and definition of significantly enriched </w:t>
      </w:r>
      <w:r w:rsidR="006C52CE" w:rsidRPr="00993C92">
        <w:rPr>
          <w:color w:val="000000" w:themeColor="text1"/>
          <w:u w:val="single"/>
        </w:rPr>
        <w:t>peptides</w:t>
      </w:r>
    </w:p>
    <w:p w14:paraId="0340E484" w14:textId="46E13891" w:rsidR="0032561D" w:rsidRPr="00993C92" w:rsidRDefault="00CE1E73" w:rsidP="0084184D">
      <w:pPr>
        <w:spacing w:after="0"/>
        <w:jc w:val="both"/>
        <w:rPr>
          <w:color w:val="000000" w:themeColor="text1"/>
        </w:rPr>
      </w:pPr>
      <w:r w:rsidRPr="00993C92">
        <w:rPr>
          <w:color w:val="000000" w:themeColor="text1"/>
        </w:rPr>
        <w:t>After sequencing</w:t>
      </w:r>
      <w:r w:rsidR="006C52CE" w:rsidRPr="00993C92">
        <w:rPr>
          <w:color w:val="000000" w:themeColor="text1"/>
        </w:rPr>
        <w:t>,</w:t>
      </w:r>
      <w:r w:rsidRPr="00993C92">
        <w:rPr>
          <w:color w:val="000000" w:themeColor="text1"/>
        </w:rPr>
        <w:t xml:space="preserve"> the reads from each well are down-sampled to 1.25 million identified</w:t>
      </w:r>
      <w:r w:rsidR="006C52CE" w:rsidRPr="00993C92">
        <w:rPr>
          <w:color w:val="000000" w:themeColor="text1"/>
        </w:rPr>
        <w:t xml:space="preserve"> reads</w:t>
      </w:r>
      <w:r w:rsidRPr="00993C92">
        <w:rPr>
          <w:color w:val="000000" w:themeColor="text1"/>
        </w:rPr>
        <w:t xml:space="preserve">, by barcode, per well </w:t>
      </w:r>
      <w:r w:rsidR="006C52CE" w:rsidRPr="00993C92">
        <w:rPr>
          <w:color w:val="000000" w:themeColor="text1"/>
        </w:rPr>
        <w:t>(</w:t>
      </w:r>
      <w:r w:rsidRPr="00993C92">
        <w:rPr>
          <w:color w:val="000000" w:themeColor="text1"/>
        </w:rPr>
        <w:t>if enough reads exist</w:t>
      </w:r>
      <w:r w:rsidR="006C52CE" w:rsidRPr="00993C92">
        <w:rPr>
          <w:color w:val="000000" w:themeColor="text1"/>
        </w:rPr>
        <w:t>)</w:t>
      </w:r>
      <w:r w:rsidRPr="00993C92">
        <w:rPr>
          <w:color w:val="000000" w:themeColor="text1"/>
        </w:rPr>
        <w:t xml:space="preserve">. If a well did not produce at least 0.75 million identified reads it was discarded. In order to assess which oligos are actually significantly up-regulated, a p-value is </w:t>
      </w:r>
      <w:r w:rsidR="00E7091D" w:rsidRPr="00993C92">
        <w:rPr>
          <w:color w:val="000000" w:themeColor="text1"/>
        </w:rPr>
        <w:t>calculated for</w:t>
      </w:r>
      <w:r w:rsidRPr="00993C92">
        <w:rPr>
          <w:color w:val="000000" w:themeColor="text1"/>
        </w:rPr>
        <w:t xml:space="preserve"> each oligo, given its input </w:t>
      </w:r>
      <w:r w:rsidR="00B07A39" w:rsidRPr="00993C92">
        <w:rPr>
          <w:color w:val="000000" w:themeColor="text1"/>
        </w:rPr>
        <w:t>read numbers</w:t>
      </w:r>
      <w:r w:rsidRPr="00993C92">
        <w:rPr>
          <w:color w:val="000000" w:themeColor="text1"/>
        </w:rPr>
        <w:t xml:space="preserve">, a Generalized Poisson Distribution of the expected output </w:t>
      </w:r>
      <w:r w:rsidR="00B07A39" w:rsidRPr="00993C92">
        <w:rPr>
          <w:color w:val="000000" w:themeColor="text1"/>
        </w:rPr>
        <w:t>read numbers</w:t>
      </w:r>
      <w:r w:rsidRPr="00993C92">
        <w:rPr>
          <w:color w:val="000000" w:themeColor="text1"/>
        </w:rPr>
        <w:t xml:space="preserve"> </w:t>
      </w:r>
      <w:r w:rsidR="00E7091D" w:rsidRPr="00993C92">
        <w:rPr>
          <w:color w:val="000000" w:themeColor="text1"/>
        </w:rPr>
        <w:t>for</w:t>
      </w:r>
      <w:r w:rsidRPr="00993C92">
        <w:rPr>
          <w:color w:val="000000" w:themeColor="text1"/>
        </w:rPr>
        <w:t xml:space="preserve"> th</w:t>
      </w:r>
      <w:r w:rsidR="00E7091D" w:rsidRPr="00993C92">
        <w:rPr>
          <w:color w:val="000000" w:themeColor="text1"/>
        </w:rPr>
        <w:t>e respective</w:t>
      </w:r>
      <w:r w:rsidRPr="00993C92">
        <w:rPr>
          <w:color w:val="000000" w:themeColor="text1"/>
        </w:rPr>
        <w:t xml:space="preserve"> input </w:t>
      </w:r>
      <w:r w:rsidR="00E7091D" w:rsidRPr="00993C92">
        <w:rPr>
          <w:color w:val="000000" w:themeColor="text1"/>
        </w:rPr>
        <w:t>read number</w:t>
      </w:r>
      <w:r w:rsidRPr="00993C92">
        <w:rPr>
          <w:color w:val="000000" w:themeColor="text1"/>
        </w:rPr>
        <w:t>, and its output</w:t>
      </w:r>
      <w:r w:rsidR="00E7091D" w:rsidRPr="00993C92">
        <w:rPr>
          <w:color w:val="000000" w:themeColor="text1"/>
        </w:rPr>
        <w:t xml:space="preserve"> read number</w:t>
      </w:r>
      <w:r w:rsidRPr="00993C92">
        <w:rPr>
          <w:color w:val="000000" w:themeColor="text1"/>
        </w:rPr>
        <w:t xml:space="preserve"> </w:t>
      </w:r>
      <w:r w:rsidR="00282B43" w:rsidRPr="00993C92">
        <w:rPr>
          <w:noProof/>
          <w:color w:val="000000" w:themeColor="text1"/>
        </w:rPr>
        <w:t>(Vogl et al., 2021)</w:t>
      </w:r>
      <w:r w:rsidRPr="00993C92">
        <w:rPr>
          <w:color w:val="000000" w:themeColor="text1"/>
        </w:rPr>
        <w:t>, and only oligos whose p-values pass the minimal threshold of the plate are said to have passed.</w:t>
      </w:r>
    </w:p>
    <w:p w14:paraId="36617ACA" w14:textId="77F6C8ED" w:rsidR="0032561D" w:rsidRPr="00993C92" w:rsidRDefault="0032561D" w:rsidP="0084184D">
      <w:pPr>
        <w:spacing w:after="0"/>
        <w:jc w:val="both"/>
        <w:rPr>
          <w:color w:val="000000" w:themeColor="text1"/>
        </w:rPr>
      </w:pPr>
      <w:r w:rsidRPr="00993C92">
        <w:rPr>
          <w:color w:val="000000" w:themeColor="text1"/>
        </w:rPr>
        <w:t xml:space="preserve">Hence, a significantly enriched epitope (a "hit") is one for which the p-value passes the threshold </w:t>
      </w:r>
      <w:r w:rsidR="00B23D59" w:rsidRPr="00993C92">
        <w:rPr>
          <w:color w:val="000000" w:themeColor="text1"/>
        </w:rPr>
        <w:t xml:space="preserve">cutoff </w:t>
      </w:r>
      <w:r w:rsidRPr="00993C92">
        <w:rPr>
          <w:color w:val="000000" w:themeColor="text1"/>
        </w:rPr>
        <w:t>of the specific plate. We computed this p-value on the output sequencing read</w:t>
      </w:r>
      <w:r w:rsidR="00B23D59" w:rsidRPr="00993C92">
        <w:rPr>
          <w:color w:val="000000" w:themeColor="text1"/>
        </w:rPr>
        <w:t xml:space="preserve"> number</w:t>
      </w:r>
      <w:r w:rsidRPr="00993C92">
        <w:rPr>
          <w:color w:val="000000" w:themeColor="text1"/>
        </w:rPr>
        <w:t xml:space="preserve"> of the peptide, under the expected Generalized Poisson Distribution for its input </w:t>
      </w:r>
      <w:r w:rsidR="00B23D59" w:rsidRPr="00993C92">
        <w:rPr>
          <w:color w:val="000000" w:themeColor="text1"/>
        </w:rPr>
        <w:t>read number</w:t>
      </w:r>
      <w:r w:rsidRPr="00993C92">
        <w:rPr>
          <w:color w:val="000000" w:themeColor="text1"/>
        </w:rPr>
        <w:t xml:space="preserve"> (=baseline sequencing of each variant of the phage library without adding any antibodies or performing washing steps). The output </w:t>
      </w:r>
      <w:r w:rsidR="00B23D59" w:rsidRPr="00993C92">
        <w:rPr>
          <w:color w:val="000000" w:themeColor="text1"/>
        </w:rPr>
        <w:t>read number</w:t>
      </w:r>
      <w:r w:rsidRPr="00993C92">
        <w:rPr>
          <w:color w:val="000000" w:themeColor="text1"/>
        </w:rPr>
        <w:t xml:space="preserve"> is obtained by sequencing the phages bound in the immune-precipitation step. The computation of this is detailed in </w:t>
      </w:r>
      <w:r w:rsidR="00282B43" w:rsidRPr="00993C92">
        <w:rPr>
          <w:noProof/>
          <w:color w:val="000000" w:themeColor="text1"/>
        </w:rPr>
        <w:t>(Vogl et al., 2021)</w:t>
      </w:r>
      <w:r w:rsidRPr="00993C92">
        <w:rPr>
          <w:color w:val="000000" w:themeColor="text1"/>
        </w:rPr>
        <w:t>.</w:t>
      </w:r>
    </w:p>
    <w:p w14:paraId="7CEF72FB" w14:textId="3E7795E5" w:rsidR="0084184D" w:rsidRPr="00993C92" w:rsidRDefault="0084184D" w:rsidP="0084184D">
      <w:pPr>
        <w:spacing w:after="0"/>
        <w:jc w:val="both"/>
        <w:rPr>
          <w:color w:val="000000" w:themeColor="text1"/>
        </w:rPr>
      </w:pPr>
      <w:r w:rsidRPr="00993C92">
        <w:rPr>
          <w:color w:val="000000" w:themeColor="text1"/>
        </w:rPr>
        <w:t xml:space="preserve">A cutoff of &gt;200 was applied to all significantly bound peptides (as applied in previous studies </w:t>
      </w:r>
      <w:r w:rsidR="00282B43" w:rsidRPr="00993C92">
        <w:rPr>
          <w:noProof/>
          <w:color w:val="000000" w:themeColor="text1"/>
        </w:rPr>
        <w:t>(Vogl et al., 2021)</w:t>
      </w:r>
      <w:r w:rsidRPr="00993C92">
        <w:rPr>
          <w:color w:val="000000" w:themeColor="text1"/>
        </w:rPr>
        <w:t xml:space="preserve">), including both the library discussed in this manuscript and the one previously described </w:t>
      </w:r>
      <w:r w:rsidR="00282B43" w:rsidRPr="00993C92">
        <w:rPr>
          <w:noProof/>
          <w:color w:val="000000" w:themeColor="text1"/>
        </w:rPr>
        <w:t>(Vogl et al., 2021)</w:t>
      </w:r>
      <w:r w:rsidRPr="00993C92">
        <w:rPr>
          <w:color w:val="000000" w:themeColor="text1"/>
        </w:rPr>
        <w:t>. This was done as a few samples appeared faulty due to technical issues (w</w:t>
      </w:r>
      <w:r w:rsidR="0099554B" w:rsidRPr="00993C92">
        <w:rPr>
          <w:color w:val="000000" w:themeColor="text1"/>
        </w:rPr>
        <w:t>hile</w:t>
      </w:r>
      <w:r w:rsidRPr="00993C92">
        <w:rPr>
          <w:color w:val="000000" w:themeColor="text1"/>
        </w:rPr>
        <w:t xml:space="preserve"> the passing ones followed a normal distribution). The analyses performed in this manuscript were all on the subsets of allergen databases and IEDB (as shown in Fig. 1c) and therefore include samples with less than 200 peptides in the figures (</w:t>
      </w:r>
      <w:r w:rsidR="0099554B" w:rsidRPr="00993C92">
        <w:rPr>
          <w:color w:val="000000" w:themeColor="text1"/>
        </w:rPr>
        <w:t xml:space="preserve">for this subset, </w:t>
      </w:r>
      <w:r w:rsidRPr="00993C92">
        <w:rPr>
          <w:color w:val="000000" w:themeColor="text1"/>
        </w:rPr>
        <w:t>even though the overall number had been greater).</w:t>
      </w:r>
    </w:p>
    <w:p w14:paraId="0C997EDF" w14:textId="2C9913C1" w:rsidR="00DC7EED" w:rsidRPr="00993C92" w:rsidRDefault="00DC7EED" w:rsidP="002763E4">
      <w:pPr>
        <w:spacing w:after="0" w:line="240" w:lineRule="auto"/>
        <w:jc w:val="both"/>
        <w:rPr>
          <w:color w:val="000000" w:themeColor="text1"/>
        </w:rPr>
      </w:pPr>
      <w:r w:rsidRPr="00993C92">
        <w:rPr>
          <w:color w:val="000000" w:themeColor="text1"/>
          <w:u w:val="single"/>
        </w:rPr>
        <w:t>Correction for Batch Effects</w:t>
      </w:r>
    </w:p>
    <w:p w14:paraId="77A4E2FC" w14:textId="34DEC29E" w:rsidR="00DC7EED" w:rsidRPr="00993C92" w:rsidRDefault="00DC7EED" w:rsidP="002763E4">
      <w:pPr>
        <w:spacing w:after="0" w:line="240" w:lineRule="auto"/>
        <w:jc w:val="both"/>
        <w:rPr>
          <w:color w:val="000000" w:themeColor="text1"/>
        </w:rPr>
      </w:pPr>
      <w:r w:rsidRPr="00993C92">
        <w:rPr>
          <w:color w:val="000000" w:themeColor="text1"/>
        </w:rPr>
        <w:t xml:space="preserve">Every plate of samples processed contained four copies of an </w:t>
      </w:r>
      <w:r w:rsidR="00CC18AE" w:rsidRPr="00993C92">
        <w:rPr>
          <w:color w:val="000000" w:themeColor="text1"/>
        </w:rPr>
        <w:t>‘</w:t>
      </w:r>
      <w:r w:rsidRPr="00993C92">
        <w:rPr>
          <w:color w:val="000000" w:themeColor="text1"/>
        </w:rPr>
        <w:t>anchor sample</w:t>
      </w:r>
      <w:r w:rsidR="00CC18AE" w:rsidRPr="00993C92">
        <w:rPr>
          <w:color w:val="000000" w:themeColor="text1"/>
        </w:rPr>
        <w:t>’</w:t>
      </w:r>
      <w:r w:rsidRPr="00993C92">
        <w:rPr>
          <w:color w:val="000000" w:themeColor="text1"/>
        </w:rPr>
        <w:t xml:space="preserve"> (</w:t>
      </w:r>
      <w:r w:rsidR="00CC18AE" w:rsidRPr="00993C92">
        <w:rPr>
          <w:color w:val="000000" w:themeColor="text1"/>
        </w:rPr>
        <w:t xml:space="preserve">internal control, </w:t>
      </w:r>
      <w:r w:rsidRPr="00993C92">
        <w:rPr>
          <w:color w:val="000000" w:themeColor="text1"/>
        </w:rPr>
        <w:t xml:space="preserve">four fixed wells in the plate), this anchor sample was created once by mixing </w:t>
      </w:r>
      <w:r w:rsidR="000148AF" w:rsidRPr="00993C92">
        <w:rPr>
          <w:color w:val="000000" w:themeColor="text1"/>
        </w:rPr>
        <w:t xml:space="preserve">serum </w:t>
      </w:r>
      <w:r w:rsidR="002763E4" w:rsidRPr="00993C92">
        <w:rPr>
          <w:color w:val="000000" w:themeColor="text1"/>
        </w:rPr>
        <w:t>samples of three individuals</w:t>
      </w:r>
      <w:r w:rsidRPr="00993C92">
        <w:rPr>
          <w:color w:val="000000" w:themeColor="text1"/>
        </w:rPr>
        <w:t xml:space="preserve"> and subsequently used on all plates. These anchors were used to verify all plates behaved in an equivalent manner, to assess the noise between technical replicates), and to identify batch </w:t>
      </w:r>
      <w:r w:rsidRPr="00993C92">
        <w:rPr>
          <w:color w:val="000000" w:themeColor="text1"/>
        </w:rPr>
        <w:lastRenderedPageBreak/>
        <w:t xml:space="preserve">effects. </w:t>
      </w:r>
      <w:r w:rsidR="002763E4" w:rsidRPr="00993C92">
        <w:rPr>
          <w:color w:val="000000" w:themeColor="text1"/>
        </w:rPr>
        <w:t>T</w:t>
      </w:r>
      <w:r w:rsidRPr="00993C92">
        <w:rPr>
          <w:color w:val="000000" w:themeColor="text1"/>
        </w:rPr>
        <w:t xml:space="preserve">here was a drift in the number of oligos passing the </w:t>
      </w:r>
      <w:r w:rsidR="001B5CCD" w:rsidRPr="00993C92">
        <w:rPr>
          <w:color w:val="000000" w:themeColor="text1"/>
        </w:rPr>
        <w:t xml:space="preserve">fixed </w:t>
      </w:r>
      <w:r w:rsidRPr="00993C92">
        <w:rPr>
          <w:color w:val="000000" w:themeColor="text1"/>
        </w:rPr>
        <w:t xml:space="preserve">minimal p-value threshold over time. In order to correct for this batch effect a correction </w:t>
      </w:r>
      <w:r w:rsidR="00A01434" w:rsidRPr="00993C92">
        <w:rPr>
          <w:color w:val="000000" w:themeColor="text1"/>
        </w:rPr>
        <w:t xml:space="preserve">to the minimal p-value per plate </w:t>
      </w:r>
      <w:r w:rsidRPr="00993C92">
        <w:rPr>
          <w:color w:val="000000" w:themeColor="text1"/>
        </w:rPr>
        <w:t xml:space="preserve">was made so as not to use a constant threshold on all plates, but to determine a plate specific threshold such that the same average number of oligos pass for the four anchor samples across </w:t>
      </w:r>
      <w:r w:rsidR="00A01434" w:rsidRPr="00993C92">
        <w:rPr>
          <w:color w:val="000000" w:themeColor="text1"/>
        </w:rPr>
        <w:t xml:space="preserve">all </w:t>
      </w:r>
      <w:r w:rsidRPr="00993C92">
        <w:rPr>
          <w:color w:val="000000" w:themeColor="text1"/>
        </w:rPr>
        <w:t>plates. This correction affects both the existence data (the set of oligos that pass per sample) and the fold change data, as we only determine fold change for the oligos that pass the minimal threshold.</w:t>
      </w:r>
    </w:p>
    <w:p w14:paraId="4FBEF65B" w14:textId="77777777" w:rsidR="00DC7EED" w:rsidRPr="00993C92" w:rsidRDefault="00DC7EED" w:rsidP="002763E4">
      <w:pPr>
        <w:spacing w:after="0" w:line="240" w:lineRule="auto"/>
        <w:jc w:val="both"/>
        <w:rPr>
          <w:color w:val="000000" w:themeColor="text1"/>
        </w:rPr>
      </w:pPr>
      <w:r w:rsidRPr="00993C92">
        <w:rPr>
          <w:color w:val="000000" w:themeColor="text1"/>
          <w:u w:val="single"/>
        </w:rPr>
        <w:t>Correction of Fold Change for Simplex Limitations</w:t>
      </w:r>
    </w:p>
    <w:p w14:paraId="7FC6AAEB" w14:textId="6D97FA27" w:rsidR="00A01434" w:rsidRPr="00993C92" w:rsidRDefault="00DC7EED" w:rsidP="002763E4">
      <w:pPr>
        <w:spacing w:after="0" w:line="240" w:lineRule="auto"/>
        <w:jc w:val="both"/>
        <w:rPr>
          <w:color w:val="000000" w:themeColor="text1"/>
        </w:rPr>
      </w:pPr>
      <w:r w:rsidRPr="00993C92">
        <w:rPr>
          <w:color w:val="000000" w:themeColor="text1"/>
        </w:rPr>
        <w:t xml:space="preserve">The output </w:t>
      </w:r>
      <w:r w:rsidR="003F675A" w:rsidRPr="00993C92">
        <w:rPr>
          <w:color w:val="000000" w:themeColor="text1"/>
        </w:rPr>
        <w:t>read numbers</w:t>
      </w:r>
      <w:r w:rsidRPr="00993C92">
        <w:rPr>
          <w:color w:val="000000" w:themeColor="text1"/>
        </w:rPr>
        <w:t xml:space="preserve"> of oligo</w:t>
      </w:r>
      <w:r w:rsidR="002763E4" w:rsidRPr="00993C92">
        <w:rPr>
          <w:color w:val="000000" w:themeColor="text1"/>
        </w:rPr>
        <w:t xml:space="preserve"> variant</w:t>
      </w:r>
      <w:r w:rsidRPr="00993C92">
        <w:rPr>
          <w:color w:val="000000" w:themeColor="text1"/>
        </w:rPr>
        <w:t xml:space="preserve"> binding</w:t>
      </w:r>
      <w:r w:rsidR="00A73BDA" w:rsidRPr="00993C92">
        <w:rPr>
          <w:color w:val="000000" w:themeColor="text1"/>
        </w:rPr>
        <w:t xml:space="preserve"> (i.e. the DNA sequencing result linked to the respective peptide)</w:t>
      </w:r>
      <w:r w:rsidRPr="00993C92">
        <w:rPr>
          <w:color w:val="000000" w:themeColor="text1"/>
        </w:rPr>
        <w:t xml:space="preserve">, measured in the PhIPSeq assay, is given on a simplex, i.e. the total number of oligos is not meaningful, and for the sake of noise reduction is downsampled to a constant </w:t>
      </w:r>
      <w:r w:rsidR="003F675A" w:rsidRPr="00993C92">
        <w:rPr>
          <w:color w:val="000000" w:themeColor="text1"/>
        </w:rPr>
        <w:t>coverage</w:t>
      </w:r>
      <w:r w:rsidR="00A01434" w:rsidRPr="00993C92">
        <w:rPr>
          <w:color w:val="000000" w:themeColor="text1"/>
        </w:rPr>
        <w:t xml:space="preserve"> (1.25 million reads)</w:t>
      </w:r>
      <w:r w:rsidRPr="00993C92">
        <w:rPr>
          <w:color w:val="000000" w:themeColor="text1"/>
        </w:rPr>
        <w:t xml:space="preserve">. </w:t>
      </w:r>
      <w:r w:rsidR="00630A22" w:rsidRPr="00993C92">
        <w:rPr>
          <w:color w:val="000000" w:themeColor="text1"/>
        </w:rPr>
        <w:t>Therefore,</w:t>
      </w:r>
      <w:r w:rsidRPr="00993C92">
        <w:rPr>
          <w:color w:val="000000" w:themeColor="text1"/>
        </w:rPr>
        <w:t xml:space="preserve"> any oligo which is up-regulated by the process causes all other oligos to look as if they were down-regulated (as it "takes up more space" of the output). </w:t>
      </w:r>
      <w:r w:rsidR="00A01434" w:rsidRPr="00993C92">
        <w:rPr>
          <w:color w:val="000000" w:themeColor="text1"/>
        </w:rPr>
        <w:t xml:space="preserve">The process of scoring (described above) identifies all oligos which pass the threshold p-value. </w:t>
      </w:r>
    </w:p>
    <w:p w14:paraId="03FD2427" w14:textId="075E3767" w:rsidR="00DC7EED" w:rsidRPr="00993C92" w:rsidRDefault="00DC7EED" w:rsidP="002763E4">
      <w:pPr>
        <w:spacing w:after="0" w:line="240" w:lineRule="auto"/>
        <w:jc w:val="both"/>
        <w:rPr>
          <w:color w:val="000000" w:themeColor="text1"/>
        </w:rPr>
      </w:pPr>
      <w:r w:rsidRPr="00993C92">
        <w:rPr>
          <w:color w:val="000000" w:themeColor="text1"/>
        </w:rPr>
        <w:t xml:space="preserve">This process does not, however, make the fold-change (output </w:t>
      </w:r>
      <w:r w:rsidR="003F675A" w:rsidRPr="00993C92">
        <w:rPr>
          <w:color w:val="000000" w:themeColor="text1"/>
        </w:rPr>
        <w:t>read number</w:t>
      </w:r>
      <w:r w:rsidRPr="00993C92">
        <w:rPr>
          <w:color w:val="000000" w:themeColor="text1"/>
        </w:rPr>
        <w:t xml:space="preserve"> divided by input </w:t>
      </w:r>
      <w:r w:rsidR="003F675A" w:rsidRPr="00993C92">
        <w:rPr>
          <w:color w:val="000000" w:themeColor="text1"/>
        </w:rPr>
        <w:t>read number</w:t>
      </w:r>
      <w:r w:rsidRPr="00993C92">
        <w:rPr>
          <w:color w:val="000000" w:themeColor="text1"/>
        </w:rPr>
        <w:t xml:space="preserve">) comparable between different samples. In order to make the fold change comparable, with no objective </w:t>
      </w:r>
      <w:r w:rsidR="003F675A" w:rsidRPr="00993C92">
        <w:rPr>
          <w:color w:val="000000" w:themeColor="text1"/>
        </w:rPr>
        <w:t>read number</w:t>
      </w:r>
      <w:r w:rsidRPr="00993C92">
        <w:rPr>
          <w:color w:val="000000" w:themeColor="text1"/>
        </w:rPr>
        <w:t xml:space="preserve"> to lean upon, we assess the background fold change in the following way:</w:t>
      </w:r>
    </w:p>
    <w:p w14:paraId="2160AF15" w14:textId="2DFAE33F" w:rsidR="00DC7EED" w:rsidRPr="00993C92" w:rsidRDefault="00DC7EED" w:rsidP="002763E4">
      <w:pPr>
        <w:spacing w:after="0" w:line="240" w:lineRule="auto"/>
        <w:jc w:val="both"/>
        <w:rPr>
          <w:color w:val="000000" w:themeColor="text1"/>
        </w:rPr>
      </w:pPr>
      <w:r w:rsidRPr="00993C92">
        <w:rPr>
          <w:color w:val="000000" w:themeColor="text1"/>
        </w:rPr>
        <w:t xml:space="preserve">1. Take all oligos whose input </w:t>
      </w:r>
      <w:r w:rsidR="003F675A" w:rsidRPr="00993C92">
        <w:rPr>
          <w:color w:val="000000" w:themeColor="text1"/>
        </w:rPr>
        <w:t>read numbers</w:t>
      </w:r>
      <w:r w:rsidRPr="00993C92">
        <w:rPr>
          <w:color w:val="000000" w:themeColor="text1"/>
        </w:rPr>
        <w:t xml:space="preserve"> are above the base minimal</w:t>
      </w:r>
      <w:r w:rsidR="003F675A" w:rsidRPr="00993C92">
        <w:rPr>
          <w:color w:val="000000" w:themeColor="text1"/>
        </w:rPr>
        <w:t xml:space="preserve"> read number</w:t>
      </w:r>
      <w:r w:rsidRPr="00993C92">
        <w:rPr>
          <w:color w:val="000000" w:themeColor="text1"/>
        </w:rPr>
        <w:t xml:space="preserve"> used for assessing the Generalized Poisson Distributions.</w:t>
      </w:r>
    </w:p>
    <w:p w14:paraId="152973FA" w14:textId="247B49CD" w:rsidR="00DC7EED" w:rsidRPr="00993C92" w:rsidRDefault="00DC7EED" w:rsidP="002763E4">
      <w:pPr>
        <w:spacing w:after="0" w:line="240" w:lineRule="auto"/>
        <w:jc w:val="both"/>
        <w:rPr>
          <w:color w:val="000000" w:themeColor="text1"/>
        </w:rPr>
      </w:pPr>
      <w:r w:rsidRPr="00993C92">
        <w:rPr>
          <w:color w:val="000000" w:themeColor="text1"/>
        </w:rPr>
        <w:t xml:space="preserve">2. Take only oligos whose p-value is </w:t>
      </w:r>
      <w:r w:rsidR="00A01434" w:rsidRPr="00993C92">
        <w:rPr>
          <w:color w:val="000000" w:themeColor="text1"/>
        </w:rPr>
        <w:t>under</w:t>
      </w:r>
      <w:r w:rsidRPr="00993C92">
        <w:rPr>
          <w:color w:val="000000" w:themeColor="text1"/>
        </w:rPr>
        <w:t xml:space="preserve"> the 95</w:t>
      </w:r>
      <w:r w:rsidR="006C52CE" w:rsidRPr="00993C92">
        <w:rPr>
          <w:color w:val="000000" w:themeColor="text1"/>
        </w:rPr>
        <w:t>%</w:t>
      </w:r>
      <w:r w:rsidRPr="00993C92">
        <w:rPr>
          <w:color w:val="000000" w:themeColor="text1"/>
        </w:rPr>
        <w:t xml:space="preserve"> quantile of p-values (the assessment of the GPD parameters assumes at least 95% of oligos aren't up-regulated).</w:t>
      </w:r>
    </w:p>
    <w:p w14:paraId="7252EBE6" w14:textId="77777777" w:rsidR="00DC7EED" w:rsidRPr="00993C92" w:rsidRDefault="00DC7EED" w:rsidP="002763E4">
      <w:pPr>
        <w:spacing w:after="0" w:line="240" w:lineRule="auto"/>
        <w:jc w:val="both"/>
        <w:rPr>
          <w:color w:val="000000" w:themeColor="text1"/>
        </w:rPr>
      </w:pPr>
      <w:r w:rsidRPr="00993C92">
        <w:rPr>
          <w:color w:val="000000" w:themeColor="text1"/>
        </w:rPr>
        <w:t>3. Take the median value of fold-change on this set of oligos.</w:t>
      </w:r>
    </w:p>
    <w:p w14:paraId="7230CB97" w14:textId="1B369022" w:rsidR="00DC7EED" w:rsidRPr="00993C92" w:rsidRDefault="00A01434" w:rsidP="002763E4">
      <w:pPr>
        <w:spacing w:after="120" w:line="240" w:lineRule="auto"/>
        <w:jc w:val="both"/>
        <w:rPr>
          <w:color w:val="000000" w:themeColor="text1"/>
        </w:rPr>
      </w:pPr>
      <w:r w:rsidRPr="00993C92">
        <w:rPr>
          <w:color w:val="000000" w:themeColor="text1"/>
        </w:rPr>
        <w:t>This value is then used to normalize the fold-change of all passing oligos, and the fold change of any peptide that did not pass the threshold p-value is set to 1.</w:t>
      </w:r>
    </w:p>
    <w:p w14:paraId="749A3837" w14:textId="77777777" w:rsidR="00CF0C02" w:rsidRPr="00993C92" w:rsidRDefault="00CF0C02" w:rsidP="00775187">
      <w:pPr>
        <w:pStyle w:val="Heading3"/>
      </w:pPr>
      <w:r w:rsidRPr="00993C92">
        <w:t>Immunoprecipitation and sequencing.</w:t>
      </w:r>
    </w:p>
    <w:p w14:paraId="4FD0077C" w14:textId="221D1FEF" w:rsidR="00756174" w:rsidRPr="00993C92" w:rsidRDefault="00CF0C02" w:rsidP="00CF0C02">
      <w:pPr>
        <w:spacing w:after="0" w:line="240" w:lineRule="auto"/>
        <w:jc w:val="both"/>
        <w:rPr>
          <w:color w:val="000000" w:themeColor="text1"/>
        </w:rPr>
      </w:pPr>
      <w:r w:rsidRPr="00993C92">
        <w:rPr>
          <w:color w:val="000000" w:themeColor="text1"/>
        </w:rPr>
        <w:t xml:space="preserve">PhIP-Seq experiments were carried out as outlined in a published protocol </w:t>
      </w:r>
      <w:r w:rsidR="00282B43" w:rsidRPr="00993C92">
        <w:rPr>
          <w:noProof/>
          <w:color w:val="000000" w:themeColor="text1"/>
        </w:rPr>
        <w:t>(Mohan et al., 2018)</w:t>
      </w:r>
      <w:r w:rsidRPr="00993C92">
        <w:rPr>
          <w:color w:val="000000" w:themeColor="text1"/>
        </w:rPr>
        <w:t xml:space="preserve"> with lab specific modifications detailed in ref. </w:t>
      </w:r>
      <w:r w:rsidR="00282B43" w:rsidRPr="00993C92">
        <w:rPr>
          <w:noProof/>
          <w:color w:val="000000" w:themeColor="text1"/>
        </w:rPr>
        <w:t>(Vogl et al., 2021)</w:t>
      </w:r>
      <w:r w:rsidRPr="00993C92">
        <w:rPr>
          <w:color w:val="000000" w:themeColor="text1"/>
        </w:rPr>
        <w:t xml:space="preserve">. Experiments with altered immunoprecipitation conditions (using protein A or protein G separately) and IgA and IgG specific capture antibodies were also performed as outlined </w:t>
      </w:r>
      <w:r w:rsidR="00282B43" w:rsidRPr="00993C92">
        <w:rPr>
          <w:noProof/>
          <w:color w:val="000000" w:themeColor="text1"/>
        </w:rPr>
        <w:t>(Vogl et al., 2021)</w:t>
      </w:r>
      <w:r w:rsidR="00044B42" w:rsidRPr="00993C92">
        <w:rPr>
          <w:color w:val="000000" w:themeColor="text1"/>
        </w:rPr>
        <w:t xml:space="preserve"> and are described in detail below</w:t>
      </w:r>
      <w:r w:rsidRPr="00993C92">
        <w:rPr>
          <w:color w:val="000000" w:themeColor="text1"/>
        </w:rPr>
        <w:t>.</w:t>
      </w:r>
    </w:p>
    <w:p w14:paraId="5F5B74CA" w14:textId="73DBDC7E" w:rsidR="00044B42" w:rsidRPr="00993C92" w:rsidRDefault="00044B42" w:rsidP="00CF0C02">
      <w:pPr>
        <w:spacing w:after="0" w:line="240" w:lineRule="auto"/>
        <w:jc w:val="both"/>
        <w:rPr>
          <w:color w:val="000000" w:themeColor="text1"/>
        </w:rPr>
      </w:pPr>
    </w:p>
    <w:p w14:paraId="68BF053B" w14:textId="22B68615" w:rsidR="00044B42" w:rsidRPr="00993C92" w:rsidRDefault="00044B42" w:rsidP="00775187">
      <w:pPr>
        <w:pStyle w:val="Heading3"/>
      </w:pPr>
      <w:r w:rsidRPr="00993C92">
        <w:t>Antibody binding with protein A vs. G covered beads</w:t>
      </w:r>
    </w:p>
    <w:p w14:paraId="033894B6" w14:textId="78D2C96B" w:rsidR="00044B42" w:rsidRPr="00993C92" w:rsidRDefault="00044B42" w:rsidP="00044B42">
      <w:pPr>
        <w:spacing w:after="0"/>
        <w:jc w:val="both"/>
        <w:rPr>
          <w:color w:val="000000" w:themeColor="text1"/>
        </w:rPr>
      </w:pPr>
      <w:r w:rsidRPr="00993C92">
        <w:rPr>
          <w:color w:val="000000" w:themeColor="text1"/>
        </w:rPr>
        <w:t xml:space="preserve">Food antigens can be bound by different antibody classes such as IgG </w:t>
      </w:r>
      <w:r w:rsidRPr="00993C92">
        <w:rPr>
          <w:noProof/>
          <w:color w:val="000000" w:themeColor="text1"/>
        </w:rPr>
        <w:t>(Gocki and Bartuzi, 2016; Hamilton, 2009; Husby et al., 1985; Stapel et al., 2008)</w:t>
      </w:r>
      <w:r w:rsidRPr="00993C92">
        <w:rPr>
          <w:color w:val="000000" w:themeColor="text1"/>
        </w:rPr>
        <w:t xml:space="preserve">, IgA </w:t>
      </w:r>
      <w:r w:rsidRPr="00993C92">
        <w:rPr>
          <w:noProof/>
          <w:color w:val="000000" w:themeColor="text1"/>
        </w:rPr>
        <w:t>(Husby et al., 1985; Konstantinou et al., 2014a, 2014b; Vazquez-Ortiz et al., 2013)</w:t>
      </w:r>
      <w:r w:rsidRPr="00993C92">
        <w:rPr>
          <w:color w:val="000000" w:themeColor="text1"/>
        </w:rPr>
        <w:t xml:space="preserve"> and IgE </w:t>
      </w:r>
      <w:r w:rsidRPr="00993C92">
        <w:rPr>
          <w:noProof/>
          <w:color w:val="000000" w:themeColor="text1"/>
        </w:rPr>
        <w:t>(Yu et al., 2016)</w:t>
      </w:r>
      <w:r w:rsidRPr="00993C92">
        <w:rPr>
          <w:color w:val="000000" w:themeColor="text1"/>
        </w:rPr>
        <w:t xml:space="preserve"> (the latter in the context of allergies) in blood, as well as mucosal IgA </w:t>
      </w:r>
      <w:r w:rsidRPr="00993C92">
        <w:rPr>
          <w:noProof/>
          <w:color w:val="000000" w:themeColor="text1"/>
        </w:rPr>
        <w:t>(Frossard et al., 2004; Kamemura et al., 2015)</w:t>
      </w:r>
      <w:r w:rsidRPr="00993C92">
        <w:rPr>
          <w:color w:val="000000" w:themeColor="text1"/>
        </w:rPr>
        <w:t>. To gain understanding by which antibody classes the antigens of our library are bound, we performed an experiment with altered immunoprecipitation conditions (</w:t>
      </w:r>
      <w:r w:rsidRPr="00993C92">
        <w:rPr>
          <w:color w:val="000000" w:themeColor="text1"/>
          <w:u w:val="single"/>
        </w:rPr>
        <w:t>Fig. 1</w:t>
      </w:r>
      <w:r w:rsidRPr="00993C92">
        <w:rPr>
          <w:color w:val="000000" w:themeColor="text1"/>
        </w:rPr>
        <w:t xml:space="preserve">a). In addition to using a mixture of protein A and protein G coated beads (which binds all antibody classes), we mixed the same serum samples separately with protein A alone and protein G alone. According to the manufacturer’s specifications of the superparamagnetic beads used in these experiments (Thermo Fisher Scientific, catalog numbers 10008D [protein A] and </w:t>
      </w:r>
      <w:r w:rsidRPr="00993C92">
        <w:rPr>
          <w:rStyle w:val="ng-binding"/>
          <w:color w:val="000000" w:themeColor="text1"/>
        </w:rPr>
        <w:t xml:space="preserve">10009D [protein G]), protein A binds strongly to </w:t>
      </w:r>
      <w:r w:rsidRPr="00993C92">
        <w:rPr>
          <w:color w:val="000000" w:themeColor="text1"/>
        </w:rPr>
        <w:t>human IgG1,2,4 and weakly/moderately to IgG3, IgA, IgM, and IgE, while it does not bind IgD. In contrast, protein G binds strongly to human IgG1,2,4 as well as IgG3, but does not bind to IgA, IgM, IgE or IgD.</w:t>
      </w:r>
    </w:p>
    <w:p w14:paraId="2CADA94A" w14:textId="77777777" w:rsidR="00044B42" w:rsidRPr="00993C92" w:rsidRDefault="00044B42" w:rsidP="00044B42">
      <w:pPr>
        <w:spacing w:after="0"/>
        <w:jc w:val="both"/>
        <w:rPr>
          <w:color w:val="000000" w:themeColor="text1"/>
        </w:rPr>
      </w:pPr>
      <w:r w:rsidRPr="00993C92">
        <w:rPr>
          <w:color w:val="000000" w:themeColor="text1"/>
        </w:rPr>
        <w:t>Hence, antigens detected with both protein A and protein G indicate binding of IgG subclasses, whereas antigens bound by IgA, IgM, and IgE can be identified by only binding to protein A beads.</w:t>
      </w:r>
    </w:p>
    <w:p w14:paraId="1D4444F1" w14:textId="77777777" w:rsidR="00044B42" w:rsidRPr="00993C92" w:rsidRDefault="00044B42" w:rsidP="00044B42">
      <w:pPr>
        <w:spacing w:after="0"/>
        <w:jc w:val="both"/>
        <w:rPr>
          <w:color w:val="000000" w:themeColor="text1"/>
        </w:rPr>
      </w:pPr>
    </w:p>
    <w:p w14:paraId="5F159FD9" w14:textId="79A863FC" w:rsidR="00044B42" w:rsidRPr="00993C92" w:rsidRDefault="00044B42" w:rsidP="00044B42">
      <w:pPr>
        <w:spacing w:after="0"/>
        <w:jc w:val="both"/>
        <w:rPr>
          <w:color w:val="000000" w:themeColor="text1"/>
        </w:rPr>
      </w:pPr>
      <w:r w:rsidRPr="00993C92">
        <w:rPr>
          <w:color w:val="000000" w:themeColor="text1"/>
        </w:rPr>
        <w:t xml:space="preserve">We processed serum samples of 80 individuals each with a mixture of protein A and G (equivalent to the standard protocol used for serum measurements shown in this work), protein A alone, and protein G alone. Antibody binding between protein A and protein G was strongly correlated (Pearson R=0.90), </w:t>
      </w:r>
      <w:r w:rsidRPr="00993C92">
        <w:rPr>
          <w:color w:val="000000" w:themeColor="text1"/>
        </w:rPr>
        <w:lastRenderedPageBreak/>
        <w:t>with few antigens (ca. 10-20 depending on cutoff criteria) bound only by protein A (</w:t>
      </w:r>
      <w:r w:rsidR="007E69D6" w:rsidRPr="00993C92">
        <w:rPr>
          <w:color w:val="000000" w:themeColor="text1"/>
          <w:u w:val="single"/>
        </w:rPr>
        <w:t xml:space="preserve">Fig. </w:t>
      </w:r>
      <w:r w:rsidR="007E69D6" w:rsidRPr="00993C92">
        <w:rPr>
          <w:noProof/>
          <w:color w:val="000000" w:themeColor="text1"/>
          <w:u w:val="single"/>
        </w:rPr>
        <w:t>4</w:t>
      </w:r>
      <w:r w:rsidRPr="00993C92">
        <w:rPr>
          <w:color w:val="000000" w:themeColor="text1"/>
        </w:rPr>
        <w:t>a). Comparing binding between the mixture of protein A and G with protein G or protein A, showed high consistency: When comparing the mixture of protein A and G beads with protein G beads (</w:t>
      </w:r>
      <w:r w:rsidR="007E69D6" w:rsidRPr="00993C92">
        <w:rPr>
          <w:color w:val="000000" w:themeColor="text1"/>
          <w:u w:val="single"/>
        </w:rPr>
        <w:t xml:space="preserve">Fig. </w:t>
      </w:r>
      <w:r w:rsidR="007E69D6" w:rsidRPr="00993C92">
        <w:rPr>
          <w:noProof/>
          <w:color w:val="000000" w:themeColor="text1"/>
          <w:u w:val="single"/>
        </w:rPr>
        <w:t>4</w:t>
      </w:r>
      <w:r w:rsidRPr="00993C92">
        <w:rPr>
          <w:color w:val="000000" w:themeColor="text1"/>
        </w:rPr>
        <w:t xml:space="preserve">b) antigens bound uniquely by protein G in </w:t>
      </w:r>
      <w:r w:rsidR="007E69D6" w:rsidRPr="00993C92">
        <w:rPr>
          <w:color w:val="000000" w:themeColor="text1"/>
          <w:u w:val="single"/>
        </w:rPr>
        <w:t xml:space="preserve">Fig. </w:t>
      </w:r>
      <w:r w:rsidR="007E69D6" w:rsidRPr="00993C92">
        <w:rPr>
          <w:noProof/>
          <w:color w:val="000000" w:themeColor="text1"/>
          <w:u w:val="single"/>
        </w:rPr>
        <w:t>4</w:t>
      </w:r>
      <w:r w:rsidRPr="00993C92">
        <w:rPr>
          <w:color w:val="000000" w:themeColor="text1"/>
        </w:rPr>
        <w:t>a are masked, whereas protein A specific binding persists (</w:t>
      </w:r>
      <w:r w:rsidR="007E69D6" w:rsidRPr="00993C92">
        <w:rPr>
          <w:color w:val="000000" w:themeColor="text1"/>
          <w:u w:val="single"/>
        </w:rPr>
        <w:t xml:space="preserve">Fig. </w:t>
      </w:r>
      <w:r w:rsidR="007E69D6" w:rsidRPr="00993C92">
        <w:rPr>
          <w:noProof/>
          <w:color w:val="000000" w:themeColor="text1"/>
          <w:u w:val="single"/>
        </w:rPr>
        <w:t>4</w:t>
      </w:r>
      <w:r w:rsidRPr="00993C92">
        <w:rPr>
          <w:color w:val="000000" w:themeColor="text1"/>
        </w:rPr>
        <w:t>b). Vice versa, when comparing in the mixture of protein A and G with protein A (</w:t>
      </w:r>
      <w:r w:rsidR="007E69D6" w:rsidRPr="00993C92">
        <w:rPr>
          <w:color w:val="000000" w:themeColor="text1"/>
          <w:u w:val="single"/>
        </w:rPr>
        <w:t xml:space="preserve">Fig. </w:t>
      </w:r>
      <w:r w:rsidR="007E69D6" w:rsidRPr="00993C92">
        <w:rPr>
          <w:noProof/>
          <w:color w:val="000000" w:themeColor="text1"/>
          <w:u w:val="single"/>
        </w:rPr>
        <w:t>4</w:t>
      </w:r>
      <w:r w:rsidRPr="00993C92">
        <w:rPr>
          <w:color w:val="000000" w:themeColor="text1"/>
        </w:rPr>
        <w:t xml:space="preserve">c) unique binding by protein A, evident in </w:t>
      </w:r>
      <w:r w:rsidR="007E69D6" w:rsidRPr="00993C92">
        <w:rPr>
          <w:color w:val="000000" w:themeColor="text1"/>
          <w:u w:val="single"/>
        </w:rPr>
        <w:t xml:space="preserve">Fig. </w:t>
      </w:r>
      <w:r w:rsidR="007E69D6" w:rsidRPr="00993C92">
        <w:rPr>
          <w:noProof/>
          <w:color w:val="000000" w:themeColor="text1"/>
          <w:u w:val="single"/>
        </w:rPr>
        <w:t>4</w:t>
      </w:r>
      <w:r w:rsidRPr="00993C92">
        <w:rPr>
          <w:color w:val="000000" w:themeColor="text1"/>
        </w:rPr>
        <w:t>a, is masked (except for a few peptides showing near universal binding with protein A, but unexpectedly not bound by protein A+G (and vice versa, likely owing to experimental conditions).</w:t>
      </w:r>
    </w:p>
    <w:p w14:paraId="5BA240EA" w14:textId="77B9C303" w:rsidR="00044B42" w:rsidRPr="00993C92" w:rsidRDefault="00044B42" w:rsidP="00044B42">
      <w:pPr>
        <w:spacing w:after="0"/>
        <w:jc w:val="both"/>
        <w:rPr>
          <w:color w:val="000000" w:themeColor="text1"/>
        </w:rPr>
      </w:pPr>
      <w:r w:rsidRPr="00993C92">
        <w:rPr>
          <w:color w:val="000000" w:themeColor="text1"/>
        </w:rPr>
        <w:t>Among the peptides more frequently bound by protein A (</w:t>
      </w:r>
      <w:r w:rsidR="007E69D6" w:rsidRPr="00993C92">
        <w:rPr>
          <w:color w:val="000000" w:themeColor="text1"/>
          <w:u w:val="single"/>
        </w:rPr>
        <w:t xml:space="preserve">Fig. </w:t>
      </w:r>
      <w:r w:rsidR="007E69D6" w:rsidRPr="00993C92">
        <w:rPr>
          <w:noProof/>
          <w:color w:val="000000" w:themeColor="text1"/>
          <w:u w:val="single"/>
        </w:rPr>
        <w:t>4</w:t>
      </w:r>
      <w:r w:rsidRPr="00993C92">
        <w:rPr>
          <w:color w:val="000000" w:themeColor="text1"/>
        </w:rPr>
        <w:t>a,b), viral antigens from herpesvirus 4/Epstein-Barr virus were most frequent, while no food antigens were detected, suggesting primary detection of IgG against food antigens in our experimental setting. This notion was further confirmed by the IgA/IgG specific workflows described below.</w:t>
      </w:r>
    </w:p>
    <w:p w14:paraId="7AA13F39" w14:textId="77777777" w:rsidR="00044B42" w:rsidRPr="00993C92" w:rsidRDefault="00044B42" w:rsidP="00044B42">
      <w:pPr>
        <w:spacing w:after="0"/>
        <w:jc w:val="both"/>
        <w:rPr>
          <w:color w:val="000000" w:themeColor="text1"/>
        </w:rPr>
      </w:pPr>
    </w:p>
    <w:p w14:paraId="17037554" w14:textId="1D4CB9E6" w:rsidR="00044B42" w:rsidRPr="00993C92" w:rsidRDefault="00044B42" w:rsidP="00775187">
      <w:pPr>
        <w:pStyle w:val="Heading3"/>
      </w:pPr>
      <w:r w:rsidRPr="00993C92">
        <w:t>Antibody binding with IgG and IgA specific beads</w:t>
      </w:r>
    </w:p>
    <w:p w14:paraId="7AB8E8A9" w14:textId="28BDB52F" w:rsidR="00044B42" w:rsidRPr="00993C92" w:rsidRDefault="00044B42" w:rsidP="00044B42">
      <w:pPr>
        <w:spacing w:after="0"/>
        <w:jc w:val="both"/>
        <w:rPr>
          <w:color w:val="000000" w:themeColor="text1"/>
        </w:rPr>
      </w:pPr>
      <w:r w:rsidRPr="00993C92">
        <w:rPr>
          <w:color w:val="000000" w:themeColor="text1"/>
        </w:rPr>
        <w:t xml:space="preserve">In addition to the experiments with protein A and G separately, we also verified the same set of 80 samples with beads covered with IgG and IgA capture antibodies (following a published PhIP-Seq protocol </w:t>
      </w:r>
      <w:r w:rsidRPr="00993C92">
        <w:rPr>
          <w:noProof/>
          <w:color w:val="000000" w:themeColor="text1"/>
        </w:rPr>
        <w:t>(Shrock et al., 2020; Vogl et al., 2021)</w:t>
      </w:r>
      <w:r w:rsidRPr="00993C92">
        <w:rPr>
          <w:color w:val="000000" w:themeColor="text1"/>
        </w:rPr>
        <w:t xml:space="preserve">). Rather than mixing the phage/antibody complexes with protein A+G, we mixed them with IgA and IgG specific biotinylated capture antibodies (Mouse Anti-Human IgG Fc-BIOT and Goat Anti-Human IgA-BIOT, Southern Biotech) by adding 6 µg of each capture antibody (in a separate reaction) prior to the overnight incubation step (outlined in the STAR methods). Sample IgG/IgA  concentrations (3 µg used per reaction) were determined as outlined previously </w:t>
      </w:r>
      <w:r w:rsidRPr="00993C92">
        <w:rPr>
          <w:noProof/>
          <w:color w:val="000000" w:themeColor="text1"/>
        </w:rPr>
        <w:t>(Vogl et al., 2021)</w:t>
      </w:r>
      <w:r w:rsidRPr="00993C92">
        <w:rPr>
          <w:color w:val="000000" w:themeColor="text1"/>
        </w:rPr>
        <w:t>. For the pulldown in the immunoprecipitation step, 25 µL of Pierce Streptavidin Magnetic Beads (ThermoFisher Scientific) were added per reaction (washed according to the manufacturer’s recommendations). The following incubation/washing steps were performed identical to when using a mixture of protein A and G.</w:t>
      </w:r>
    </w:p>
    <w:p w14:paraId="22C290BC" w14:textId="55CEA011" w:rsidR="00044B42" w:rsidRPr="00993C92" w:rsidRDefault="00044B42" w:rsidP="00044B42">
      <w:pPr>
        <w:spacing w:after="0"/>
        <w:jc w:val="both"/>
        <w:rPr>
          <w:color w:val="000000" w:themeColor="text1"/>
        </w:rPr>
      </w:pPr>
      <w:r w:rsidRPr="00993C92">
        <w:rPr>
          <w:color w:val="000000" w:themeColor="text1"/>
        </w:rPr>
        <w:t>Following this protocol, we measured serum samples of 80 individuals with this IgA and IgG specific workflow (</w:t>
      </w:r>
      <w:r w:rsidR="007E69D6" w:rsidRPr="00993C92">
        <w:rPr>
          <w:color w:val="000000" w:themeColor="text1"/>
          <w:u w:val="single"/>
        </w:rPr>
        <w:t xml:space="preserve">Fig. </w:t>
      </w:r>
      <w:r w:rsidR="007E69D6" w:rsidRPr="00993C92">
        <w:rPr>
          <w:noProof/>
          <w:color w:val="000000" w:themeColor="text1"/>
          <w:u w:val="single"/>
        </w:rPr>
        <w:t>4</w:t>
      </w:r>
      <w:r w:rsidRPr="00993C92">
        <w:rPr>
          <w:color w:val="000000" w:themeColor="text1"/>
        </w:rPr>
        <w:t>d). These were the same 80 samples, that we had also measured with the standard protein A+G workflow and protein A and protein G separately (</w:t>
      </w:r>
      <w:r w:rsidR="007E69D6" w:rsidRPr="00993C92">
        <w:rPr>
          <w:color w:val="000000" w:themeColor="text1"/>
          <w:u w:val="single"/>
        </w:rPr>
        <w:t xml:space="preserve">Fig. </w:t>
      </w:r>
      <w:r w:rsidR="007E69D6" w:rsidRPr="00993C92">
        <w:rPr>
          <w:noProof/>
          <w:color w:val="000000" w:themeColor="text1"/>
          <w:u w:val="single"/>
        </w:rPr>
        <w:t>4</w:t>
      </w:r>
      <w:r w:rsidRPr="00993C92">
        <w:rPr>
          <w:color w:val="000000" w:themeColor="text1"/>
        </w:rPr>
        <w:t>a-c). Some peptides were nearly exclusively bound by IgA and others near universally by IgG (</w:t>
      </w:r>
      <w:r w:rsidR="007E69D6" w:rsidRPr="00993C92">
        <w:rPr>
          <w:color w:val="000000" w:themeColor="text1"/>
          <w:u w:val="single"/>
        </w:rPr>
        <w:t xml:space="preserve">Fig. </w:t>
      </w:r>
      <w:r w:rsidR="007E69D6" w:rsidRPr="00993C92">
        <w:rPr>
          <w:noProof/>
          <w:color w:val="000000" w:themeColor="text1"/>
          <w:u w:val="single"/>
        </w:rPr>
        <w:t>4</w:t>
      </w:r>
      <w:r w:rsidRPr="00993C92">
        <w:rPr>
          <w:color w:val="000000" w:themeColor="text1"/>
        </w:rPr>
        <w:t xml:space="preserve">d) – although IgA yielded in general less abundant signals than IgG (discussed in detail below). A third group of peptides showed binding by both IgA and IgG to varying extents. In general, more peptides were bound per sample when using IgG specific beads (median 66 peptides per sample) than when employing IgA specific beads (on average 12 peptides per sample) as illustrated in </w:t>
      </w:r>
      <w:r w:rsidR="007E69D6" w:rsidRPr="00993C92">
        <w:rPr>
          <w:color w:val="000000" w:themeColor="text1"/>
          <w:u w:val="single"/>
        </w:rPr>
        <w:t xml:space="preserve">Fig. </w:t>
      </w:r>
      <w:r w:rsidR="007E69D6" w:rsidRPr="00993C92">
        <w:rPr>
          <w:noProof/>
          <w:color w:val="000000" w:themeColor="text1"/>
          <w:u w:val="single"/>
        </w:rPr>
        <w:t>4</w:t>
      </w:r>
      <w:r w:rsidRPr="00993C92">
        <w:rPr>
          <w:color w:val="000000" w:themeColor="text1"/>
        </w:rPr>
        <w:t xml:space="preserve">g. This difference may be due to technical aspects such as different affinity of the employed IgA/IgG capture antibodies for their targets or varying binding efficiency of these biotinylated capture antibodies to the Streptavidin coated beads (despite using the same amount of IgA and IgG in the immunoprecipitations [3 µg] and availability of capturing beads in excess [according to the manufacturer’s specifications]). Potentially sensitivity could be increased for the IgA specific beads by systematically gauging different phage and antibody amounts (as demonstrated by ref. </w:t>
      </w:r>
      <w:r w:rsidRPr="00993C92">
        <w:rPr>
          <w:noProof/>
          <w:color w:val="000000" w:themeColor="text1"/>
        </w:rPr>
        <w:t>(Vogl et al., 2021)</w:t>
      </w:r>
      <w:r w:rsidRPr="00993C92">
        <w:rPr>
          <w:color w:val="000000" w:themeColor="text1"/>
        </w:rPr>
        <w:t xml:space="preserve"> for protein A and G). Alternatively, to these experimental factors, also biological factors such as lower binding rates of IgA to the antigens of our phage library may contribute to these results. Elucidating the exact underlying factors will require additional experiments, however our data demonstrate that IgG and IgA responses can be resolved with the reported workflow </w:t>
      </w:r>
      <w:r w:rsidRPr="00993C92">
        <w:rPr>
          <w:noProof/>
          <w:color w:val="000000" w:themeColor="text1"/>
        </w:rPr>
        <w:t>(Shrock et al., 2020)</w:t>
      </w:r>
      <w:r w:rsidRPr="00993C92">
        <w:rPr>
          <w:color w:val="000000" w:themeColor="text1"/>
        </w:rPr>
        <w:t xml:space="preserve">of applying capture antibody with specificities for human antibody subclasses (detecting primarily IgG responses against food antigens, </w:t>
      </w:r>
      <w:r w:rsidR="007E69D6" w:rsidRPr="00993C92">
        <w:rPr>
          <w:color w:val="000000" w:themeColor="text1"/>
          <w:u w:val="single"/>
        </w:rPr>
        <w:t xml:space="preserve">Fig. </w:t>
      </w:r>
      <w:r w:rsidR="007E69D6" w:rsidRPr="00993C92">
        <w:rPr>
          <w:noProof/>
          <w:color w:val="000000" w:themeColor="text1"/>
          <w:u w:val="single"/>
        </w:rPr>
        <w:t>4</w:t>
      </w:r>
      <w:r w:rsidRPr="00993C92">
        <w:rPr>
          <w:color w:val="000000" w:themeColor="text1"/>
        </w:rPr>
        <w:t>h and discussion below).</w:t>
      </w:r>
    </w:p>
    <w:p w14:paraId="1D374129" w14:textId="77777777" w:rsidR="00044B42" w:rsidRPr="00993C92" w:rsidRDefault="00044B42" w:rsidP="00044B42">
      <w:pPr>
        <w:spacing w:after="0"/>
        <w:jc w:val="both"/>
        <w:rPr>
          <w:color w:val="000000" w:themeColor="text1"/>
        </w:rPr>
      </w:pPr>
    </w:p>
    <w:p w14:paraId="6BCB7298" w14:textId="7F34735A" w:rsidR="00044B42" w:rsidRPr="00993C92" w:rsidRDefault="00044B42" w:rsidP="00044B42">
      <w:pPr>
        <w:jc w:val="both"/>
        <w:rPr>
          <w:color w:val="000000" w:themeColor="text1"/>
        </w:rPr>
      </w:pPr>
      <w:r w:rsidRPr="00993C92">
        <w:rPr>
          <w:color w:val="000000" w:themeColor="text1"/>
        </w:rPr>
        <w:t>We also compared peptides bound by IgA and IgG to results obtained from the mixture of protein A and G (</w:t>
      </w:r>
      <w:r w:rsidR="007E69D6" w:rsidRPr="00993C92">
        <w:rPr>
          <w:color w:val="000000" w:themeColor="text1"/>
          <w:u w:val="single"/>
        </w:rPr>
        <w:t xml:space="preserve">Fig. </w:t>
      </w:r>
      <w:r w:rsidR="007E69D6" w:rsidRPr="00993C92">
        <w:rPr>
          <w:noProof/>
          <w:color w:val="000000" w:themeColor="text1"/>
          <w:u w:val="single"/>
        </w:rPr>
        <w:t>4</w:t>
      </w:r>
      <w:r w:rsidRPr="00993C92">
        <w:rPr>
          <w:color w:val="000000" w:themeColor="text1"/>
        </w:rPr>
        <w:t xml:space="preserve">e,f). Peptides bound by IgG and the mixture of protein A+G showed a large overlap (R=0.72). In contrast IgA bound peptides showed less overlap to protein A+G (similar to the binding overlap between IgA and IgG, shown in </w:t>
      </w:r>
      <w:r w:rsidR="007E69D6" w:rsidRPr="00993C92">
        <w:rPr>
          <w:color w:val="000000" w:themeColor="text1"/>
          <w:u w:val="single"/>
        </w:rPr>
        <w:t xml:space="preserve">Fig. </w:t>
      </w:r>
      <w:r w:rsidR="007E69D6" w:rsidRPr="00993C92">
        <w:rPr>
          <w:noProof/>
          <w:color w:val="000000" w:themeColor="text1"/>
          <w:u w:val="single"/>
        </w:rPr>
        <w:t>4</w:t>
      </w:r>
      <w:r w:rsidRPr="00993C92">
        <w:rPr>
          <w:color w:val="000000" w:themeColor="text1"/>
        </w:rPr>
        <w:t>f vs. d). These results were expected from the protein A vs. G experiments, that had already suggested primarily detection of IgG subtypes. Overall, we found that also food antigens were bound at similar percentages, confirming that we are primarily detecting IgG against food antigens (</w:t>
      </w:r>
      <w:r w:rsidR="007E69D6" w:rsidRPr="00993C92">
        <w:rPr>
          <w:color w:val="000000" w:themeColor="text1"/>
          <w:u w:val="single"/>
        </w:rPr>
        <w:t xml:space="preserve">Fig. </w:t>
      </w:r>
      <w:r w:rsidR="007E69D6" w:rsidRPr="00993C92">
        <w:rPr>
          <w:noProof/>
          <w:color w:val="000000" w:themeColor="text1"/>
          <w:u w:val="single"/>
        </w:rPr>
        <w:t>4</w:t>
      </w:r>
      <w:r w:rsidRPr="00993C92">
        <w:rPr>
          <w:color w:val="000000" w:themeColor="text1"/>
        </w:rPr>
        <w:t xml:space="preserve">h). The somewhat skewed binding profile in </w:t>
      </w:r>
      <w:r w:rsidR="007E69D6" w:rsidRPr="00993C92">
        <w:rPr>
          <w:color w:val="000000" w:themeColor="text1"/>
          <w:u w:val="single"/>
        </w:rPr>
        <w:t xml:space="preserve">Fig. </w:t>
      </w:r>
      <w:r w:rsidR="007E69D6" w:rsidRPr="00993C92">
        <w:rPr>
          <w:noProof/>
          <w:color w:val="000000" w:themeColor="text1"/>
          <w:u w:val="single"/>
        </w:rPr>
        <w:t>4</w:t>
      </w:r>
      <w:r w:rsidRPr="00993C92">
        <w:rPr>
          <w:color w:val="000000" w:themeColor="text1"/>
        </w:rPr>
        <w:t>e (with the mixture of protein A and G showing general higher prevalences per peptide than IgG specific beads) may be caused by experimental factors: 1.) Protein A and G bind also other antibody classes than IgG (although at lower affinity), hence additional binding to other classes may contribute to the signals observed with the protein A and G mixture. 2.) The mixture of protein A and G detected on average per sample a larger number of peptides than the IgG specific beads (</w:t>
      </w:r>
      <w:r w:rsidR="007E69D6" w:rsidRPr="00993C92">
        <w:rPr>
          <w:color w:val="000000" w:themeColor="text1"/>
          <w:u w:val="single"/>
        </w:rPr>
        <w:t xml:space="preserve">Fig. </w:t>
      </w:r>
      <w:r w:rsidR="007E69D6" w:rsidRPr="00993C92">
        <w:rPr>
          <w:noProof/>
          <w:color w:val="000000" w:themeColor="text1"/>
          <w:u w:val="single"/>
        </w:rPr>
        <w:t>4</w:t>
      </w:r>
      <w:r w:rsidRPr="00993C92">
        <w:rPr>
          <w:color w:val="000000" w:themeColor="text1"/>
        </w:rPr>
        <w:t xml:space="preserve">g). While protein A+G coated beads detected approximately 332 (median) peptides per sample, IgG specific beads detected 66 peptides per sample. As we had used the same amount of normalized IgG (3 µg) in both cases, this difference may rather be due to different binding capacities or affinity (although we had in both cases provided beads in excess according to the manufacturer’s recommendations). Hence the skewing and seemingly greater binding with protein A+G than IgG specific beads could be due to technical aspects. Potentially sensitivity could also be increased for the IgG specific beads by systematically testing different phage and antibody amounts (as referenced above for IgA </w:t>
      </w:r>
      <w:r w:rsidRPr="00993C92">
        <w:rPr>
          <w:noProof/>
          <w:color w:val="000000" w:themeColor="text1"/>
        </w:rPr>
        <w:t>(Vogl et al., 2021)</w:t>
      </w:r>
      <w:r w:rsidRPr="00993C92">
        <w:rPr>
          <w:color w:val="000000" w:themeColor="text1"/>
        </w:rPr>
        <w:t>). We had also prepared a different batch of phages for the IgA vs. IgG experiment. Even though binding of each variant is normalized by the baseline abundances (input read numbers, see STAR methods), this factor may cause additional variation. This aspect applies only to the IgA and IgG experiments, the rest of the data presented in the manuscript has been measured from the same batch of phage material.</w:t>
      </w:r>
    </w:p>
    <w:p w14:paraId="76F833F7" w14:textId="5908897A" w:rsidR="00044B42" w:rsidRPr="00993C92" w:rsidRDefault="00044B42" w:rsidP="00044B42">
      <w:pPr>
        <w:spacing w:after="60"/>
        <w:jc w:val="both"/>
        <w:rPr>
          <w:color w:val="000000" w:themeColor="text1"/>
        </w:rPr>
      </w:pPr>
      <w:r w:rsidRPr="00993C92">
        <w:rPr>
          <w:color w:val="000000" w:themeColor="text1"/>
        </w:rPr>
        <w:t>Overall, the subclass experiments (</w:t>
      </w:r>
      <w:r w:rsidR="007E69D6" w:rsidRPr="00993C92">
        <w:rPr>
          <w:color w:val="000000" w:themeColor="text1"/>
          <w:u w:val="single"/>
        </w:rPr>
        <w:t xml:space="preserve">Fig. </w:t>
      </w:r>
      <w:r w:rsidR="007E69D6" w:rsidRPr="00993C92">
        <w:rPr>
          <w:noProof/>
          <w:color w:val="000000" w:themeColor="text1"/>
          <w:u w:val="single"/>
        </w:rPr>
        <w:t>4</w:t>
      </w:r>
      <w:r w:rsidRPr="00993C92">
        <w:rPr>
          <w:color w:val="000000" w:themeColor="text1"/>
        </w:rPr>
        <w:t xml:space="preserve">a to h) show that our workflow based on a mixture of protein A and G detects primarily IgG for the cohort of ~1,000 samples discussed in the main text. For a subset of 80 samples we demonstrate that IgA and IgG specific binding of antigens can be analyzed with the reported workflow </w:t>
      </w:r>
      <w:r w:rsidRPr="00993C92">
        <w:rPr>
          <w:noProof/>
          <w:color w:val="000000" w:themeColor="text1"/>
        </w:rPr>
        <w:t>(Shrock et al., 2020)</w:t>
      </w:r>
      <w:r w:rsidRPr="00993C92">
        <w:rPr>
          <w:color w:val="000000" w:themeColor="text1"/>
        </w:rPr>
        <w:t xml:space="preserve"> of applying capture antibody with specificities for human antibody subclasses. For these samples, some peptides are recognized nearly exclusively by IgA or IgG, whereas for others the two antibody classes overlap to varying extents.</w:t>
      </w:r>
    </w:p>
    <w:p w14:paraId="2AEE8996" w14:textId="77777777" w:rsidR="00044B42" w:rsidRPr="00993C92" w:rsidRDefault="00044B42" w:rsidP="00044B42">
      <w:pPr>
        <w:spacing w:after="0"/>
        <w:jc w:val="both"/>
        <w:rPr>
          <w:color w:val="000000" w:themeColor="text1"/>
        </w:rPr>
      </w:pPr>
    </w:p>
    <w:p w14:paraId="1C2106E7" w14:textId="77701F59" w:rsidR="00044B42" w:rsidRPr="00993C92" w:rsidRDefault="00044B42" w:rsidP="00044B42">
      <w:pPr>
        <w:spacing w:after="0"/>
        <w:jc w:val="both"/>
        <w:rPr>
          <w:color w:val="000000" w:themeColor="text1"/>
        </w:rPr>
      </w:pPr>
      <w:r w:rsidRPr="00993C92">
        <w:rPr>
          <w:color w:val="000000" w:themeColor="text1"/>
        </w:rPr>
        <w:t xml:space="preserve">These results indicate that the vast majority of detected antibody binding events against antigens of food (as well as pathogens from the IEDB) in this study are attributable to IgG subclasses. Yet, this finding does not preclude binding of additional antibody classes such as IgA, IgM, IgE. These antibody classes may also bind to our antigen library but may not be detectable due to lower affinities to protein A: Protein A has high affinity for IgG1,2,4 subclasses, but only weak/moderate affinity for IgG3, IgA, IgM, and IgE. Additionally, serum contains larger amounts of IgG (~75%) than IgA (~15%), IgM (~10%) or IgE (&lt;0.01%) </w:t>
      </w:r>
      <w:r w:rsidRPr="00993C92">
        <w:rPr>
          <w:noProof/>
          <w:color w:val="000000" w:themeColor="text1"/>
        </w:rPr>
        <w:t>(Schroeder and Cavacini, 2010)</w:t>
      </w:r>
      <w:r w:rsidRPr="00993C92">
        <w:rPr>
          <w:color w:val="000000" w:themeColor="text1"/>
        </w:rPr>
        <w:t>.</w:t>
      </w:r>
    </w:p>
    <w:p w14:paraId="3A12835E" w14:textId="77777777" w:rsidR="00044B42" w:rsidRPr="00993C92" w:rsidRDefault="00044B42" w:rsidP="00044B42">
      <w:pPr>
        <w:spacing w:after="0"/>
        <w:jc w:val="both"/>
        <w:rPr>
          <w:color w:val="000000" w:themeColor="text1"/>
        </w:rPr>
      </w:pPr>
      <w:r w:rsidRPr="00993C92">
        <w:rPr>
          <w:color w:val="000000" w:themeColor="text1"/>
        </w:rPr>
        <w:t>Therefore, detection of IgA, IgM, and IgE is in the current experimental setting is disfavored by a higher affinity of protein A (and G) for IgG as well as larger amounts of serum IgG competing for binding.</w:t>
      </w:r>
    </w:p>
    <w:p w14:paraId="73467082" w14:textId="03CA18F8" w:rsidR="00044B42" w:rsidRPr="00993C92" w:rsidRDefault="00044B42" w:rsidP="00044B42">
      <w:pPr>
        <w:spacing w:after="120"/>
        <w:jc w:val="both"/>
        <w:rPr>
          <w:color w:val="000000" w:themeColor="text1"/>
        </w:rPr>
      </w:pPr>
      <w:r w:rsidRPr="00993C92">
        <w:rPr>
          <w:color w:val="000000" w:themeColor="text1"/>
        </w:rPr>
        <w:t xml:space="preserve">Hence, while the results of this study focus on serum IgG responses, it could be highly informative to study overlaps between antibody classes as well as systemic and mucosal repertoires </w:t>
      </w:r>
      <w:r w:rsidRPr="00993C92">
        <w:rPr>
          <w:noProof/>
          <w:color w:val="000000" w:themeColor="text1"/>
        </w:rPr>
        <w:t>(Chen et al., 2020; Fadlallah et al., 2018)</w:t>
      </w:r>
      <w:r w:rsidRPr="00993C92">
        <w:rPr>
          <w:color w:val="000000" w:themeColor="text1"/>
        </w:rPr>
        <w:t xml:space="preserve"> using this PhIP-Seq microbiota antigen library. Especially for IgE, a workflow has already been published that allows for robust detection of allergies via PhIP-Seq </w:t>
      </w:r>
      <w:r w:rsidRPr="00993C92">
        <w:rPr>
          <w:noProof/>
          <w:color w:val="000000" w:themeColor="text1"/>
        </w:rPr>
        <w:t>(Monaco et al., 2021)</w:t>
      </w:r>
      <w:r w:rsidRPr="00993C92">
        <w:rPr>
          <w:color w:val="000000" w:themeColor="text1"/>
        </w:rPr>
        <w:t>.</w:t>
      </w:r>
    </w:p>
    <w:p w14:paraId="54A6CDC0" w14:textId="7D8D8F5D" w:rsidR="00044B42" w:rsidRPr="00993C92" w:rsidRDefault="00044B42" w:rsidP="00CF0C02">
      <w:pPr>
        <w:spacing w:after="0" w:line="240" w:lineRule="auto"/>
        <w:jc w:val="both"/>
        <w:rPr>
          <w:color w:val="000000" w:themeColor="text1"/>
        </w:rPr>
      </w:pPr>
    </w:p>
    <w:p w14:paraId="3AC1E9A8" w14:textId="77777777" w:rsidR="00044B42" w:rsidRPr="00993C92" w:rsidRDefault="00044B42" w:rsidP="00CF0C02">
      <w:pPr>
        <w:spacing w:after="0" w:line="240" w:lineRule="auto"/>
        <w:jc w:val="both"/>
        <w:rPr>
          <w:color w:val="000000" w:themeColor="text1"/>
        </w:rPr>
      </w:pPr>
    </w:p>
    <w:p w14:paraId="0831C9DE" w14:textId="3F4FA4FE" w:rsidR="00756174" w:rsidRPr="00993C92" w:rsidRDefault="00756174" w:rsidP="00775187">
      <w:pPr>
        <w:pStyle w:val="Heading3"/>
      </w:pPr>
      <w:r w:rsidRPr="00993C92">
        <w:t>Machine learning</w:t>
      </w:r>
      <w:r w:rsidR="007A3CC5" w:rsidRPr="00993C92">
        <w:t xml:space="preserve"> and data analysis</w:t>
      </w:r>
    </w:p>
    <w:p w14:paraId="73A6B663" w14:textId="35075895" w:rsidR="00D2428C" w:rsidRPr="00993C92" w:rsidRDefault="00D2428C" w:rsidP="00386DCE">
      <w:pPr>
        <w:spacing w:line="252" w:lineRule="auto"/>
        <w:jc w:val="both"/>
        <w:rPr>
          <w:color w:val="000000" w:themeColor="text1"/>
        </w:rPr>
      </w:pPr>
      <w:bookmarkStart w:id="20" w:name="_Hlk89090136"/>
      <w:r w:rsidRPr="00993C92">
        <w:rPr>
          <w:color w:val="000000" w:themeColor="text1"/>
        </w:rPr>
        <w:t xml:space="preserve">We used the gradient boosting trees regressor and classifier from scikit-learn </w:t>
      </w:r>
      <w:r w:rsidR="00282B43" w:rsidRPr="00993C92">
        <w:rPr>
          <w:noProof/>
          <w:color w:val="000000" w:themeColor="text1"/>
        </w:rPr>
        <w:t>(</w:t>
      </w:r>
      <w:r w:rsidR="003864BD" w:rsidRPr="00993C92">
        <w:t>Pedregosa et al., 2011</w:t>
      </w:r>
      <w:r w:rsidR="00282B43" w:rsidRPr="00993C92">
        <w:rPr>
          <w:noProof/>
          <w:color w:val="000000" w:themeColor="text1"/>
        </w:rPr>
        <w:t>)</w:t>
      </w:r>
      <w:r w:rsidRPr="00993C92">
        <w:rPr>
          <w:color w:val="000000" w:themeColor="text1"/>
        </w:rPr>
        <w:t xml:space="preserve"> as predictive model algorithms for the different phenotypes.</w:t>
      </w:r>
      <w:bookmarkEnd w:id="20"/>
      <w:r w:rsidRPr="00993C92">
        <w:rPr>
          <w:color w:val="000000" w:themeColor="text1"/>
        </w:rPr>
        <w:t xml:space="preserve"> For each phenotype we turned hyperparameters using a 10-fold cross-validation. We tuned the parameters in the following order: (1) n_estimators from the range of 1-400 (2) max_depth from the range of 1-200 (3) min_samples_leaf from the range of 1-200. The rest of the parameters had the default values of scikit-learn. Predictions were then performed on a 10-fold cross-validation with a different random seed so that any overfitting of hyperparameters would worsen prediction accuracy. The standard deviation of AUC was computed by 100 bootstraps on 75% of the predictions and was performed after predicting values on the entire cohort.</w:t>
      </w:r>
      <w:r w:rsidR="00386DCE" w:rsidRPr="00993C92">
        <w:rPr>
          <w:color w:val="000000" w:themeColor="text1"/>
        </w:rPr>
        <w:t xml:space="preserve"> For all machine learning predictions, antibody bound peptides were filtered in two ways: 1.) Values that did not pass the p-value for being significantly enriched in the antibody assay were exclude</w:t>
      </w:r>
      <w:r w:rsidR="00185C19" w:rsidRPr="00993C92">
        <w:rPr>
          <w:color w:val="000000" w:themeColor="text1"/>
        </w:rPr>
        <w:t>d</w:t>
      </w:r>
      <w:r w:rsidR="00386DCE" w:rsidRPr="00993C92">
        <w:rPr>
          <w:color w:val="000000" w:themeColor="text1"/>
        </w:rPr>
        <w:t>. 2.)</w:t>
      </w:r>
      <w:r w:rsidR="00185C19" w:rsidRPr="00993C92">
        <w:rPr>
          <w:color w:val="000000" w:themeColor="text1"/>
        </w:rPr>
        <w:t xml:space="preserve"> Only peptides that were bound by antibodies in more than 5% of the population were used as features (for each phenotype it is the population where this phenotype exists).</w:t>
      </w:r>
    </w:p>
    <w:p w14:paraId="692D21B3" w14:textId="3FCDDC85" w:rsidR="00941FB6" w:rsidRPr="00993C92" w:rsidRDefault="00941FB6" w:rsidP="00775187">
      <w:pPr>
        <w:pStyle w:val="Heading3"/>
      </w:pPr>
      <w:r w:rsidRPr="00993C92">
        <w:t>Peptide ELISAs</w:t>
      </w:r>
    </w:p>
    <w:p w14:paraId="1EA95FAC" w14:textId="2ECC1245" w:rsidR="00941FB6" w:rsidRPr="00993C92" w:rsidRDefault="00941FB6" w:rsidP="00941FB6">
      <w:pPr>
        <w:spacing w:after="0"/>
        <w:jc w:val="both"/>
        <w:rPr>
          <w:color w:val="000000" w:themeColor="text1"/>
        </w:rPr>
      </w:pPr>
      <w:r w:rsidRPr="00993C92">
        <w:rPr>
          <w:color w:val="000000" w:themeColor="text1"/>
        </w:rPr>
        <w:t xml:space="preserve">To validate the PhIP-Seq results, we selected </w:t>
      </w:r>
      <w:r w:rsidR="00B237F1" w:rsidRPr="00993C92">
        <w:rPr>
          <w:color w:val="000000" w:themeColor="text1"/>
        </w:rPr>
        <w:t>12</w:t>
      </w:r>
      <w:r w:rsidRPr="00993C92">
        <w:rPr>
          <w:color w:val="000000" w:themeColor="text1"/>
        </w:rPr>
        <w:t xml:space="preserve"> peptides included within our PhIP-Seq library for analysis in a peptide ELISA (results shown in </w:t>
      </w:r>
      <w:r w:rsidR="00121555" w:rsidRPr="00993C92">
        <w:rPr>
          <w:color w:val="000000" w:themeColor="text1"/>
        </w:rPr>
        <w:t xml:space="preserve">Figure S </w:t>
      </w:r>
      <w:r w:rsidR="00121555" w:rsidRPr="00993C92">
        <w:rPr>
          <w:noProof/>
          <w:color w:val="000000" w:themeColor="text1"/>
        </w:rPr>
        <w:t>5</w:t>
      </w:r>
      <w:r w:rsidRPr="00993C92">
        <w:rPr>
          <w:color w:val="000000" w:themeColor="text1"/>
        </w:rPr>
        <w:t xml:space="preserve">). We included a positive control of a viral peptide (Epstein-Barr virus [EBV] nuclear antigen 1) with frequent population scale antibody responses </w:t>
      </w:r>
      <w:r w:rsidR="00282B43" w:rsidRPr="00993C92">
        <w:rPr>
          <w:noProof/>
          <w:color w:val="000000" w:themeColor="text1"/>
        </w:rPr>
        <w:t>(Xu et al., 2015)</w:t>
      </w:r>
      <w:r w:rsidRPr="00993C92">
        <w:rPr>
          <w:color w:val="000000" w:themeColor="text1"/>
        </w:rPr>
        <w:t xml:space="preserve"> (corresponding peptide in the PhIP-Seq library: #</w:t>
      </w:r>
      <w:r w:rsidR="003E57CB" w:rsidRPr="00993C92">
        <w:rPr>
          <w:color w:val="000000" w:themeColor="text1"/>
        </w:rPr>
        <w:t>47461</w:t>
      </w:r>
      <w:r w:rsidRPr="00993C92">
        <w:rPr>
          <w:color w:val="000000" w:themeColor="text1"/>
        </w:rPr>
        <w:t xml:space="preserve">) as well as a negative control of a human protein (SAPK4/MAPK13) that was expected not to elicit antibody binding in sera of individuals </w:t>
      </w:r>
      <w:r w:rsidR="00C75235" w:rsidRPr="00993C92">
        <w:rPr>
          <w:color w:val="000000" w:themeColor="text1"/>
        </w:rPr>
        <w:t xml:space="preserve">without autoimmune diseases </w:t>
      </w:r>
      <w:r w:rsidRPr="00993C92">
        <w:rPr>
          <w:color w:val="000000" w:themeColor="text1"/>
        </w:rPr>
        <w:t>(corresponding PhIP-Seq peptides: #</w:t>
      </w:r>
      <w:r w:rsidR="009966F2" w:rsidRPr="00993C92">
        <w:rPr>
          <w:color w:val="000000" w:themeColor="text1"/>
        </w:rPr>
        <w:t>33821</w:t>
      </w:r>
      <w:r w:rsidRPr="00993C92">
        <w:rPr>
          <w:color w:val="000000" w:themeColor="text1"/>
        </w:rPr>
        <w:t>, #</w:t>
      </w:r>
      <w:r w:rsidR="009966F2" w:rsidRPr="00993C92">
        <w:rPr>
          <w:color w:val="000000" w:themeColor="text1"/>
        </w:rPr>
        <w:t>33822</w:t>
      </w:r>
      <w:r w:rsidRPr="00993C92">
        <w:rPr>
          <w:color w:val="000000" w:themeColor="text1"/>
        </w:rPr>
        <w:t>, #</w:t>
      </w:r>
      <w:r w:rsidR="009966F2" w:rsidRPr="00993C92">
        <w:rPr>
          <w:color w:val="000000" w:themeColor="text1"/>
        </w:rPr>
        <w:t xml:space="preserve">33823 </w:t>
      </w:r>
      <w:r w:rsidRPr="00993C92">
        <w:rPr>
          <w:color w:val="000000" w:themeColor="text1"/>
        </w:rPr>
        <w:t xml:space="preserve">[the identical peptide was encoded as negative controls 3x within the library, with neither DNA encoding of the peptide eliciting binding, see </w:t>
      </w:r>
      <w:r w:rsidR="00282B43" w:rsidRPr="00993C92">
        <w:rPr>
          <w:noProof/>
          <w:color w:val="000000" w:themeColor="text1"/>
        </w:rPr>
        <w:t>(Vogl et al., 2021)</w:t>
      </w:r>
      <w:r w:rsidR="00881471" w:rsidRPr="00993C92">
        <w:rPr>
          <w:color w:val="000000" w:themeColor="text1"/>
        </w:rPr>
        <w:t xml:space="preserve"> </w:t>
      </w:r>
      <w:r w:rsidRPr="00993C92">
        <w:rPr>
          <w:color w:val="000000" w:themeColor="text1"/>
        </w:rPr>
        <w:t>for details]).</w:t>
      </w:r>
      <w:r w:rsidR="00881471" w:rsidRPr="00993C92">
        <w:rPr>
          <w:color w:val="000000" w:themeColor="text1"/>
        </w:rPr>
        <w:t xml:space="preserve"> </w:t>
      </w:r>
      <w:r w:rsidR="009966F2" w:rsidRPr="00993C92">
        <w:rPr>
          <w:color w:val="000000" w:themeColor="text1"/>
        </w:rPr>
        <w:t>The 20aa sequence in the positive control appears also in other peptides (#58796, #58797, #58798, #47462, #47463, #49412). However, as Ig responses against all of these peptides in PhIP-Seq showed a similar correlation to the IgG ELISA peptide (Spearman R 0.</w:t>
      </w:r>
      <w:r w:rsidR="003E57CB" w:rsidRPr="00993C92">
        <w:rPr>
          <w:color w:val="000000" w:themeColor="text1"/>
        </w:rPr>
        <w:t>66</w:t>
      </w:r>
      <w:r w:rsidR="009966F2" w:rsidRPr="00993C92">
        <w:rPr>
          <w:color w:val="000000" w:themeColor="text1"/>
        </w:rPr>
        <w:t xml:space="preserve"> to 0.</w:t>
      </w:r>
      <w:r w:rsidR="003E57CB" w:rsidRPr="00993C92">
        <w:rPr>
          <w:color w:val="000000" w:themeColor="text1"/>
        </w:rPr>
        <w:t>84</w:t>
      </w:r>
      <w:r w:rsidR="009966F2" w:rsidRPr="00993C92">
        <w:rPr>
          <w:color w:val="000000" w:themeColor="text1"/>
        </w:rPr>
        <w:t>), only data for one representative peptide</w:t>
      </w:r>
      <w:r w:rsidR="003E57CB" w:rsidRPr="00993C92">
        <w:rPr>
          <w:color w:val="000000" w:themeColor="text1"/>
        </w:rPr>
        <w:t xml:space="preserve"> (R=0.71)</w:t>
      </w:r>
      <w:r w:rsidR="009966F2" w:rsidRPr="00993C92">
        <w:rPr>
          <w:color w:val="000000" w:themeColor="text1"/>
        </w:rPr>
        <w:t xml:space="preserve"> is shown in </w:t>
      </w:r>
      <w:r w:rsidR="00121555" w:rsidRPr="00993C92">
        <w:rPr>
          <w:color w:val="000000" w:themeColor="text1"/>
        </w:rPr>
        <w:t xml:space="preserve">Figure S </w:t>
      </w:r>
      <w:r w:rsidR="00121555" w:rsidRPr="00993C92">
        <w:rPr>
          <w:noProof/>
          <w:color w:val="000000" w:themeColor="text1"/>
        </w:rPr>
        <w:t>5</w:t>
      </w:r>
      <w:r w:rsidR="009966F2" w:rsidRPr="00993C92">
        <w:rPr>
          <w:color w:val="000000" w:themeColor="text1"/>
        </w:rPr>
        <w:t xml:space="preserve">. </w:t>
      </w:r>
      <w:r w:rsidR="00881471" w:rsidRPr="00993C92">
        <w:rPr>
          <w:color w:val="000000" w:themeColor="text1"/>
        </w:rPr>
        <w:t>We had also previously successfully used the</w:t>
      </w:r>
      <w:r w:rsidR="009966F2" w:rsidRPr="00993C92">
        <w:rPr>
          <w:color w:val="000000" w:themeColor="text1"/>
        </w:rPr>
        <w:t xml:space="preserve"> same positive and negative </w:t>
      </w:r>
      <w:r w:rsidR="00881471" w:rsidRPr="00993C92">
        <w:rPr>
          <w:color w:val="000000" w:themeColor="text1"/>
        </w:rPr>
        <w:t xml:space="preserve">controls in ELISA experiments </w:t>
      </w:r>
      <w:r w:rsidR="00282B43" w:rsidRPr="00993C92">
        <w:rPr>
          <w:noProof/>
          <w:color w:val="000000" w:themeColor="text1"/>
        </w:rPr>
        <w:t>(Vogl et al., 2021)</w:t>
      </w:r>
      <w:r w:rsidR="00881471" w:rsidRPr="00993C92">
        <w:rPr>
          <w:color w:val="000000" w:themeColor="text1"/>
        </w:rPr>
        <w:t>.</w:t>
      </w:r>
    </w:p>
    <w:p w14:paraId="62C81EC0" w14:textId="78C6F394" w:rsidR="00941FB6" w:rsidRPr="00993C92" w:rsidRDefault="00B237F1" w:rsidP="000F6B3D">
      <w:pPr>
        <w:spacing w:after="0" w:line="257" w:lineRule="auto"/>
        <w:jc w:val="both"/>
        <w:rPr>
          <w:color w:val="000000" w:themeColor="text1"/>
        </w:rPr>
      </w:pPr>
      <w:r w:rsidRPr="00993C92">
        <w:rPr>
          <w:color w:val="000000" w:themeColor="text1"/>
        </w:rPr>
        <w:t>Beyond the controls, we included 10 peptides of animal and plant food proteins. In part we selected peptides from similar clusters and shared motifs (</w:t>
      </w:r>
      <w:r w:rsidR="002233C4" w:rsidRPr="00993C92">
        <w:rPr>
          <w:color w:val="000000" w:themeColor="text1"/>
          <w:u w:val="single"/>
        </w:rPr>
        <w:t xml:space="preserve">Fig. </w:t>
      </w:r>
      <w:r w:rsidR="002233C4" w:rsidRPr="00993C92">
        <w:rPr>
          <w:noProof/>
          <w:color w:val="000000" w:themeColor="text1"/>
          <w:u w:val="single"/>
        </w:rPr>
        <w:t>2</w:t>
      </w:r>
      <w:r w:rsidRPr="00993C92">
        <w:rPr>
          <w:color w:val="000000" w:themeColor="text1"/>
        </w:rPr>
        <w:t>) to assess potential cross reactivity. In detail we included peptides from three milk proteins from cow (#</w:t>
      </w:r>
      <w:r w:rsidR="00D1117A" w:rsidRPr="00993C92">
        <w:rPr>
          <w:color w:val="000000" w:themeColor="text1"/>
        </w:rPr>
        <w:t>20848</w:t>
      </w:r>
      <w:r w:rsidRPr="00993C92">
        <w:rPr>
          <w:color w:val="000000" w:themeColor="text1"/>
        </w:rPr>
        <w:t>), sheep (#</w:t>
      </w:r>
      <w:r w:rsidR="00D1117A" w:rsidRPr="00993C92">
        <w:rPr>
          <w:color w:val="000000" w:themeColor="text1"/>
        </w:rPr>
        <w:t>14067</w:t>
      </w:r>
      <w:r w:rsidRPr="00993C92">
        <w:rPr>
          <w:color w:val="000000" w:themeColor="text1"/>
        </w:rPr>
        <w:t>), and goat (#</w:t>
      </w:r>
      <w:r w:rsidR="00D1117A" w:rsidRPr="00993C92">
        <w:rPr>
          <w:color w:val="000000" w:themeColor="text1"/>
        </w:rPr>
        <w:t>20844</w:t>
      </w:r>
      <w:r w:rsidRPr="00993C92">
        <w:rPr>
          <w:color w:val="000000" w:themeColor="text1"/>
        </w:rPr>
        <w:t xml:space="preserve">). </w:t>
      </w:r>
      <w:r w:rsidR="00F830BC" w:rsidRPr="00993C92">
        <w:rPr>
          <w:color w:val="000000" w:themeColor="text1"/>
        </w:rPr>
        <w:t>We also included peptides from chicken (#</w:t>
      </w:r>
      <w:r w:rsidR="00D1117A" w:rsidRPr="00993C92">
        <w:rPr>
          <w:color w:val="000000" w:themeColor="text1"/>
        </w:rPr>
        <w:t>1603</w:t>
      </w:r>
      <w:r w:rsidR="00F830BC" w:rsidRPr="00993C92">
        <w:rPr>
          <w:color w:val="000000" w:themeColor="text1"/>
        </w:rPr>
        <w:t>)</w:t>
      </w:r>
      <w:r w:rsidRPr="00993C92">
        <w:rPr>
          <w:color w:val="000000" w:themeColor="text1"/>
        </w:rPr>
        <w:t xml:space="preserve"> </w:t>
      </w:r>
      <w:r w:rsidR="00F830BC" w:rsidRPr="00993C92">
        <w:rPr>
          <w:color w:val="000000" w:themeColor="text1"/>
        </w:rPr>
        <w:t>and ostrich (</w:t>
      </w:r>
      <w:r w:rsidR="00D1117A" w:rsidRPr="00993C92">
        <w:rPr>
          <w:color w:val="000000" w:themeColor="text1"/>
        </w:rPr>
        <w:t>#5109</w:t>
      </w:r>
      <w:r w:rsidR="00F830BC" w:rsidRPr="00993C92">
        <w:rPr>
          <w:color w:val="000000" w:themeColor="text1"/>
        </w:rPr>
        <w:t xml:space="preserve">) egg proteins. </w:t>
      </w:r>
      <w:r w:rsidR="006C52CE" w:rsidRPr="00993C92">
        <w:rPr>
          <w:color w:val="000000" w:themeColor="text1"/>
        </w:rPr>
        <w:t xml:space="preserve">In addition, </w:t>
      </w:r>
      <w:r w:rsidR="00F830BC" w:rsidRPr="00993C92">
        <w:rPr>
          <w:color w:val="000000" w:themeColor="text1"/>
        </w:rPr>
        <w:t>a peptide from lentil (#</w:t>
      </w:r>
      <w:r w:rsidR="00D1117A" w:rsidRPr="00993C92">
        <w:rPr>
          <w:color w:val="000000" w:themeColor="text1"/>
        </w:rPr>
        <w:t>16254</w:t>
      </w:r>
      <w:r w:rsidR="00F830BC" w:rsidRPr="00993C92">
        <w:rPr>
          <w:color w:val="000000" w:themeColor="text1"/>
        </w:rPr>
        <w:t>)</w:t>
      </w:r>
      <w:r w:rsidR="006C52CE" w:rsidRPr="00993C92">
        <w:rPr>
          <w:color w:val="000000" w:themeColor="text1"/>
        </w:rPr>
        <w:t xml:space="preserve">, </w:t>
      </w:r>
      <w:r w:rsidR="00F830BC" w:rsidRPr="00993C92">
        <w:rPr>
          <w:color w:val="000000" w:themeColor="text1"/>
        </w:rPr>
        <w:t>from wheat (#</w:t>
      </w:r>
      <w:r w:rsidR="00D1117A" w:rsidRPr="00993C92">
        <w:rPr>
          <w:color w:val="000000" w:themeColor="text1"/>
        </w:rPr>
        <w:t>14325</w:t>
      </w:r>
      <w:r w:rsidR="00F830BC" w:rsidRPr="00993C92">
        <w:rPr>
          <w:color w:val="000000" w:themeColor="text1"/>
        </w:rPr>
        <w:t>)</w:t>
      </w:r>
      <w:r w:rsidR="006C52CE" w:rsidRPr="00993C92">
        <w:rPr>
          <w:color w:val="000000" w:themeColor="text1"/>
        </w:rPr>
        <w:t>,</w:t>
      </w:r>
      <w:r w:rsidR="00F830BC" w:rsidRPr="00993C92">
        <w:rPr>
          <w:color w:val="000000" w:themeColor="text1"/>
        </w:rPr>
        <w:t xml:space="preserve"> and </w:t>
      </w:r>
      <w:r w:rsidR="0060656D" w:rsidRPr="00993C92">
        <w:rPr>
          <w:color w:val="000000" w:themeColor="text1"/>
        </w:rPr>
        <w:t xml:space="preserve">from </w:t>
      </w:r>
      <w:r w:rsidR="00F830BC" w:rsidRPr="00993C92">
        <w:rPr>
          <w:color w:val="000000" w:themeColor="text1"/>
        </w:rPr>
        <w:t>einkorn (#</w:t>
      </w:r>
      <w:r w:rsidR="00D1117A" w:rsidRPr="00993C92">
        <w:rPr>
          <w:color w:val="000000" w:themeColor="text1"/>
        </w:rPr>
        <w:t>11627</w:t>
      </w:r>
      <w:r w:rsidR="00F830BC" w:rsidRPr="00993C92">
        <w:rPr>
          <w:color w:val="000000" w:themeColor="text1"/>
        </w:rPr>
        <w:t>) were selected. We included also insect peptides or shrimp (#</w:t>
      </w:r>
      <w:r w:rsidR="006F1A71" w:rsidRPr="00993C92">
        <w:rPr>
          <w:color w:val="000000" w:themeColor="text1"/>
        </w:rPr>
        <w:t>23604</w:t>
      </w:r>
      <w:r w:rsidR="00F830BC" w:rsidRPr="00993C92">
        <w:rPr>
          <w:color w:val="000000" w:themeColor="text1"/>
        </w:rPr>
        <w:t>) and dust mite (#</w:t>
      </w:r>
      <w:r w:rsidR="006F1A71" w:rsidRPr="00993C92">
        <w:rPr>
          <w:color w:val="000000" w:themeColor="text1"/>
        </w:rPr>
        <w:t>25201</w:t>
      </w:r>
      <w:r w:rsidR="00F830BC" w:rsidRPr="00993C92">
        <w:rPr>
          <w:color w:val="000000" w:themeColor="text1"/>
        </w:rPr>
        <w:t>).</w:t>
      </w:r>
      <w:r w:rsidR="00941FB6" w:rsidRPr="00993C92">
        <w:rPr>
          <w:color w:val="000000" w:themeColor="text1"/>
        </w:rPr>
        <w:t xml:space="preserve"> As chemical synthesis of </w:t>
      </w:r>
      <w:r w:rsidR="00E50E36" w:rsidRPr="00993C92">
        <w:rPr>
          <w:color w:val="000000" w:themeColor="text1"/>
        </w:rPr>
        <w:t>5</w:t>
      </w:r>
      <w:r w:rsidR="00941FB6" w:rsidRPr="00993C92">
        <w:rPr>
          <w:color w:val="000000" w:themeColor="text1"/>
        </w:rPr>
        <w:t>4 aa peptides displayed on the phages is costly, we aimed to reduce the peptide length. Therefore, we selected 20 aa sections representing the overlap of adjacent peptides of the same protein bound in PhIP-Seq</w:t>
      </w:r>
      <w:r w:rsidR="00F830BC" w:rsidRPr="00993C92">
        <w:rPr>
          <w:color w:val="000000" w:themeColor="text1"/>
        </w:rPr>
        <w:t>, or peptides featuring conserved motifs (</w:t>
      </w:r>
      <w:r w:rsidR="002233C4" w:rsidRPr="00993C92">
        <w:rPr>
          <w:color w:val="000000" w:themeColor="text1"/>
          <w:u w:val="single"/>
        </w:rPr>
        <w:t xml:space="preserve">Fig. </w:t>
      </w:r>
      <w:r w:rsidR="002233C4" w:rsidRPr="00993C92">
        <w:rPr>
          <w:noProof/>
          <w:color w:val="000000" w:themeColor="text1"/>
          <w:u w:val="single"/>
        </w:rPr>
        <w:t>2</w:t>
      </w:r>
      <w:r w:rsidR="00F830BC" w:rsidRPr="00993C92">
        <w:rPr>
          <w:color w:val="000000" w:themeColor="text1"/>
        </w:rPr>
        <w:t>)</w:t>
      </w:r>
      <w:r w:rsidR="00941FB6" w:rsidRPr="00993C92">
        <w:rPr>
          <w:color w:val="000000" w:themeColor="text1"/>
        </w:rPr>
        <w:t>. The following aa sequences were selected: EBV - PPPGRRPFFHPVAEADYFEY, SAPK4 - KIMGMEFSEEKIQYLVYQML,</w:t>
      </w:r>
      <w:r w:rsidR="00217B8B" w:rsidRPr="00993C92">
        <w:rPr>
          <w:color w:val="000000" w:themeColor="text1"/>
        </w:rPr>
        <w:t xml:space="preserve"> cow - </w:t>
      </w:r>
      <w:r w:rsidR="00594482" w:rsidRPr="00993C92">
        <w:rPr>
          <w:color w:val="000000" w:themeColor="text1"/>
        </w:rPr>
        <w:t>YLEQLLRLKKYKVPQLEIVP</w:t>
      </w:r>
      <w:r w:rsidR="00217B8B" w:rsidRPr="00993C92">
        <w:rPr>
          <w:color w:val="000000" w:themeColor="text1"/>
        </w:rPr>
        <w:t xml:space="preserve">, sheep - </w:t>
      </w:r>
      <w:r w:rsidR="00594482" w:rsidRPr="00993C92">
        <w:rPr>
          <w:color w:val="000000" w:themeColor="text1"/>
        </w:rPr>
        <w:t>YLEQLLRLKKYNVPQLEIVP</w:t>
      </w:r>
      <w:r w:rsidR="00217B8B" w:rsidRPr="00993C92">
        <w:rPr>
          <w:color w:val="000000" w:themeColor="text1"/>
        </w:rPr>
        <w:t xml:space="preserve">, goat - </w:t>
      </w:r>
      <w:r w:rsidR="00594482" w:rsidRPr="00993C92">
        <w:rPr>
          <w:color w:val="000000" w:themeColor="text1"/>
        </w:rPr>
        <w:t>QFYQKFPQYLQYPYQGPIVL</w:t>
      </w:r>
      <w:r w:rsidR="00217B8B" w:rsidRPr="00993C92">
        <w:rPr>
          <w:color w:val="000000" w:themeColor="text1"/>
        </w:rPr>
        <w:t xml:space="preserve">, chicken - RPICGTDGVTYTNDCLLCAY, ostrich - MPLCGSDSKTYSNKCNFCNA, lentil – </w:t>
      </w:r>
      <w:r w:rsidR="00594482" w:rsidRPr="00993C92">
        <w:rPr>
          <w:color w:val="000000" w:themeColor="text1"/>
        </w:rPr>
        <w:t>QIQRPVKELAFPGSSREVDR</w:t>
      </w:r>
      <w:r w:rsidR="00217B8B" w:rsidRPr="00993C92">
        <w:rPr>
          <w:color w:val="000000" w:themeColor="text1"/>
        </w:rPr>
        <w:t xml:space="preserve">, wheat - </w:t>
      </w:r>
      <w:r w:rsidR="00594482" w:rsidRPr="00993C92">
        <w:rPr>
          <w:color w:val="000000" w:themeColor="text1"/>
        </w:rPr>
        <w:t>NCYNLCRARGAQKLCAGVCR</w:t>
      </w:r>
      <w:r w:rsidR="00217B8B" w:rsidRPr="00993C92">
        <w:rPr>
          <w:color w:val="000000" w:themeColor="text1"/>
        </w:rPr>
        <w:t xml:space="preserve">, einkorn - </w:t>
      </w:r>
      <w:r w:rsidR="00594482" w:rsidRPr="00993C92">
        <w:rPr>
          <w:color w:val="000000" w:themeColor="text1"/>
        </w:rPr>
        <w:t>DCYNLCRARGAQKLCANVCR</w:t>
      </w:r>
      <w:r w:rsidR="00217B8B" w:rsidRPr="00993C92">
        <w:rPr>
          <w:color w:val="000000" w:themeColor="text1"/>
        </w:rPr>
        <w:t xml:space="preserve">, shrimp - </w:t>
      </w:r>
      <w:r w:rsidR="00594482" w:rsidRPr="00993C92">
        <w:rPr>
          <w:color w:val="000000" w:themeColor="text1"/>
        </w:rPr>
        <w:t>EAEGGIYDISNKRRMGLTEY</w:t>
      </w:r>
      <w:r w:rsidR="00217B8B" w:rsidRPr="00993C92">
        <w:rPr>
          <w:color w:val="000000" w:themeColor="text1"/>
        </w:rPr>
        <w:t xml:space="preserve">, dust mite - </w:t>
      </w:r>
      <w:r w:rsidR="00EB1D31" w:rsidRPr="00993C92">
        <w:rPr>
          <w:color w:val="000000" w:themeColor="text1"/>
        </w:rPr>
        <w:t>ESVGGVYDISNKRRMGLTEY</w:t>
      </w:r>
      <w:r w:rsidR="00941FB6" w:rsidRPr="00993C92">
        <w:rPr>
          <w:color w:val="000000" w:themeColor="text1"/>
        </w:rPr>
        <w:t>.</w:t>
      </w:r>
    </w:p>
    <w:p w14:paraId="79DCC3F0" w14:textId="1F98EA8F" w:rsidR="00941FB6" w:rsidRPr="00993C92" w:rsidRDefault="00941FB6" w:rsidP="000F6B3D">
      <w:pPr>
        <w:spacing w:after="0" w:line="257" w:lineRule="auto"/>
        <w:jc w:val="both"/>
        <w:rPr>
          <w:color w:val="000000" w:themeColor="text1"/>
        </w:rPr>
      </w:pPr>
      <w:r w:rsidRPr="00993C92">
        <w:rPr>
          <w:color w:val="000000" w:themeColor="text1"/>
        </w:rPr>
        <w:t xml:space="preserve">These </w:t>
      </w:r>
      <w:r w:rsidRPr="00993C92">
        <w:rPr>
          <w:rFonts w:cstheme="minorHAnsi"/>
          <w:color w:val="000000" w:themeColor="text1"/>
        </w:rPr>
        <w:t xml:space="preserve">aa sequences were ordered from JPT Peptide Technologies (Berlin, Germany) as biotinylated chemically synthesized peptides and the peptide ELISA was performed according to the manufacturer’s guidelines with the recommended concentrations (Protocols BioTides™ Peptides Revision 1.0, and Peptide ELISA Revision 1.2). In short, the peptides were bound to Streptavidin coated plates (Thermo Scientific™ Nunc™ Immobilizer™ Streptavidin Plates, cat. no. 436014) and incubated with serum samples (diluted 1:1,000 fold). Antibody binding was detected with an HRP conjugated anti human IgG antibody (Southern Biotech, cat. no. 204205) </w:t>
      </w:r>
      <w:r w:rsidR="005F7669" w:rsidRPr="00993C92">
        <w:rPr>
          <w:rFonts w:cstheme="minorHAnsi"/>
          <w:color w:val="000000" w:themeColor="text1"/>
        </w:rPr>
        <w:t xml:space="preserve">or an anti human IgE antibody (Southern Biotech, cat. no. 9250-05) </w:t>
      </w:r>
      <w:r w:rsidRPr="00993C92">
        <w:rPr>
          <w:rFonts w:cstheme="minorHAnsi"/>
          <w:color w:val="000000" w:themeColor="text1"/>
        </w:rPr>
        <w:t xml:space="preserve">and TMB as substrate. Sera of </w:t>
      </w:r>
      <w:r w:rsidR="005F7669" w:rsidRPr="00993C92">
        <w:rPr>
          <w:rFonts w:cstheme="minorHAnsi"/>
          <w:color w:val="000000" w:themeColor="text1"/>
        </w:rPr>
        <w:t>4</w:t>
      </w:r>
      <w:r w:rsidRPr="00993C92">
        <w:rPr>
          <w:rFonts w:cstheme="minorHAnsi"/>
          <w:color w:val="000000" w:themeColor="text1"/>
        </w:rPr>
        <w:t>0 individuals (for whom also PhIP-Seq data was available</w:t>
      </w:r>
      <w:r w:rsidR="005F7669" w:rsidRPr="00993C92">
        <w:rPr>
          <w:rFonts w:cstheme="minorHAnsi"/>
          <w:color w:val="000000" w:themeColor="text1"/>
        </w:rPr>
        <w:t>)</w:t>
      </w:r>
      <w:r w:rsidRPr="00993C92">
        <w:rPr>
          <w:rFonts w:cstheme="minorHAnsi"/>
          <w:color w:val="000000" w:themeColor="text1"/>
        </w:rPr>
        <w:t xml:space="preserve"> were tested with each of the </w:t>
      </w:r>
      <w:r w:rsidR="005F7669" w:rsidRPr="00993C92">
        <w:rPr>
          <w:rFonts w:cstheme="minorHAnsi"/>
          <w:color w:val="000000" w:themeColor="text1"/>
        </w:rPr>
        <w:t>12</w:t>
      </w:r>
      <w:r w:rsidRPr="00993C92">
        <w:rPr>
          <w:rFonts w:cstheme="minorHAnsi"/>
          <w:color w:val="000000" w:themeColor="text1"/>
        </w:rPr>
        <w:t xml:space="preserve"> peptides</w:t>
      </w:r>
      <w:r w:rsidR="005F7669" w:rsidRPr="00993C92">
        <w:rPr>
          <w:rFonts w:cstheme="minorHAnsi"/>
          <w:color w:val="000000" w:themeColor="text1"/>
        </w:rPr>
        <w:t xml:space="preserve"> with </w:t>
      </w:r>
      <w:r w:rsidR="000F6B3D" w:rsidRPr="00993C92">
        <w:rPr>
          <w:rFonts w:cstheme="minorHAnsi"/>
          <w:color w:val="000000" w:themeColor="text1"/>
        </w:rPr>
        <w:t>both the IgG and IgE secondary antibody</w:t>
      </w:r>
      <w:r w:rsidRPr="00993C92">
        <w:rPr>
          <w:rFonts w:cstheme="minorHAnsi"/>
          <w:color w:val="000000" w:themeColor="text1"/>
        </w:rPr>
        <w:t>.</w:t>
      </w:r>
    </w:p>
    <w:p w14:paraId="642CE2D0" w14:textId="6F2B4A56" w:rsidR="00F55955" w:rsidRPr="00993C92" w:rsidRDefault="00F55955">
      <w:pPr>
        <w:spacing w:line="259" w:lineRule="auto"/>
        <w:rPr>
          <w:color w:val="000000" w:themeColor="text1"/>
        </w:rPr>
      </w:pPr>
      <w:r w:rsidRPr="00993C92">
        <w:rPr>
          <w:color w:val="000000" w:themeColor="text1"/>
        </w:rPr>
        <w:br w:type="page"/>
      </w:r>
    </w:p>
    <w:p w14:paraId="5B430EFE" w14:textId="77777777" w:rsidR="00F55955" w:rsidRPr="00993C92" w:rsidRDefault="00F55955" w:rsidP="00F55955">
      <w:pPr>
        <w:pStyle w:val="Heading1"/>
        <w:rPr>
          <w:color w:val="000000" w:themeColor="text1"/>
        </w:rPr>
      </w:pPr>
      <w:r w:rsidRPr="00993C92">
        <w:rPr>
          <w:color w:val="000000" w:themeColor="text1"/>
        </w:rPr>
        <w:t>Acknowledgments</w:t>
      </w:r>
    </w:p>
    <w:p w14:paraId="36A2FD31" w14:textId="35E19852" w:rsidR="00F55955" w:rsidRDefault="00F55955" w:rsidP="00F55955">
      <w:pPr>
        <w:autoSpaceDE w:val="0"/>
        <w:autoSpaceDN w:val="0"/>
        <w:adjustRightInd w:val="0"/>
        <w:jc w:val="both"/>
        <w:rPr>
          <w:rFonts w:cstheme="minorHAnsi"/>
          <w:color w:val="000000" w:themeColor="text1"/>
        </w:rPr>
      </w:pPr>
      <w:r w:rsidRPr="00993C92">
        <w:rPr>
          <w:rFonts w:cstheme="minorHAnsi"/>
          <w:color w:val="000000" w:themeColor="text1"/>
        </w:rPr>
        <w:t>E.S. is supported by grants from the European Research Council, the Israel Science Foundation, and by the Seerave Foundation. T.V. gratefully acknowledges support from the Austrian Science Fund (FWF, Erwin Schrödinger fellowship J 4256).</w:t>
      </w:r>
    </w:p>
    <w:p w14:paraId="2A9D5DF4" w14:textId="77777777" w:rsidR="00993C92" w:rsidRPr="00993C92" w:rsidRDefault="00993C92" w:rsidP="00F55955">
      <w:pPr>
        <w:autoSpaceDE w:val="0"/>
        <w:autoSpaceDN w:val="0"/>
        <w:adjustRightInd w:val="0"/>
        <w:jc w:val="both"/>
        <w:rPr>
          <w:rFonts w:cstheme="minorHAnsi"/>
          <w:color w:val="000000" w:themeColor="text1"/>
        </w:rPr>
      </w:pPr>
    </w:p>
    <w:p w14:paraId="6CCDEAE8" w14:textId="176D642B" w:rsidR="00F55955" w:rsidRPr="00993C92" w:rsidRDefault="00CB0296" w:rsidP="00F55955">
      <w:pPr>
        <w:pStyle w:val="Heading1"/>
        <w:rPr>
          <w:color w:val="000000" w:themeColor="text1"/>
        </w:rPr>
      </w:pPr>
      <w:r w:rsidRPr="00993C92">
        <w:rPr>
          <w:color w:val="000000" w:themeColor="text1"/>
        </w:rPr>
        <w:t xml:space="preserve">Declaration of </w:t>
      </w:r>
      <w:r w:rsidR="00F55955" w:rsidRPr="00993C92">
        <w:rPr>
          <w:color w:val="000000" w:themeColor="text1"/>
        </w:rPr>
        <w:t>interests</w:t>
      </w:r>
    </w:p>
    <w:p w14:paraId="32B9AC43" w14:textId="77777777" w:rsidR="00F55955" w:rsidRPr="00993C92" w:rsidRDefault="00F55955" w:rsidP="00F55955">
      <w:pPr>
        <w:rPr>
          <w:color w:val="000000" w:themeColor="text1"/>
        </w:rPr>
      </w:pPr>
      <w:r w:rsidRPr="00993C92">
        <w:rPr>
          <w:color w:val="000000" w:themeColor="text1"/>
        </w:rPr>
        <w:t>The authors declare no competing interests.</w:t>
      </w:r>
    </w:p>
    <w:p w14:paraId="24B58CAC" w14:textId="406B9117" w:rsidR="00CB0296" w:rsidRPr="00993C92" w:rsidRDefault="00CB0296" w:rsidP="0053656E">
      <w:pPr>
        <w:spacing w:after="0" w:line="257" w:lineRule="auto"/>
        <w:jc w:val="both"/>
        <w:rPr>
          <w:color w:val="000000" w:themeColor="text1"/>
        </w:rPr>
      </w:pPr>
    </w:p>
    <w:p w14:paraId="79A9ECD4" w14:textId="33818654" w:rsidR="00CB0296" w:rsidRPr="00993C92" w:rsidRDefault="00CB0296" w:rsidP="00CB0296">
      <w:pPr>
        <w:pStyle w:val="Heading1"/>
      </w:pPr>
      <w:r w:rsidRPr="00993C92">
        <w:t>Inclusion and diversity</w:t>
      </w:r>
    </w:p>
    <w:p w14:paraId="0B0B0EB3" w14:textId="71A6110A" w:rsidR="00CB0296" w:rsidRDefault="00CB0296" w:rsidP="00775187">
      <w:r w:rsidRPr="00993C92">
        <w:t>We support inclusive, diverse, and equitable conduct of research.</w:t>
      </w:r>
    </w:p>
    <w:p w14:paraId="0AE89F0D" w14:textId="77777777" w:rsidR="00993C92" w:rsidRPr="00993C92" w:rsidRDefault="00993C92" w:rsidP="00775187"/>
    <w:p w14:paraId="2E8F96BD" w14:textId="77777777" w:rsidR="009F2337" w:rsidRPr="00993C92" w:rsidRDefault="009F2337" w:rsidP="00D51AC4">
      <w:pPr>
        <w:pStyle w:val="Heading1"/>
        <w:jc w:val="both"/>
        <w:rPr>
          <w:color w:val="000000" w:themeColor="text1"/>
        </w:rPr>
      </w:pPr>
      <w:bookmarkStart w:id="21" w:name="_Hlk72221175"/>
      <w:bookmarkStart w:id="22" w:name="_Hlk72404829"/>
      <w:r w:rsidRPr="00993C92">
        <w:rPr>
          <w:color w:val="000000" w:themeColor="text1"/>
        </w:rPr>
        <w:t>Author Contributions Statement</w:t>
      </w:r>
    </w:p>
    <w:bookmarkEnd w:id="21"/>
    <w:p w14:paraId="55969764" w14:textId="0C7C2CCC" w:rsidR="009F2337" w:rsidRDefault="009F2337" w:rsidP="00D51AC4">
      <w:pPr>
        <w:jc w:val="both"/>
        <w:rPr>
          <w:color w:val="000000" w:themeColor="text1"/>
        </w:rPr>
      </w:pPr>
      <w:r w:rsidRPr="00993C92">
        <w:rPr>
          <w:color w:val="000000" w:themeColor="text1"/>
        </w:rPr>
        <w:t>T.V., S.K. conceived the project and designed the</w:t>
      </w:r>
      <w:r w:rsidR="00E56AB3" w:rsidRPr="00993C92">
        <w:rPr>
          <w:color w:val="000000" w:themeColor="text1"/>
        </w:rPr>
        <w:t xml:space="preserve"> biological content of the</w:t>
      </w:r>
      <w:r w:rsidRPr="00993C92">
        <w:rPr>
          <w:color w:val="000000" w:themeColor="text1"/>
        </w:rPr>
        <w:t xml:space="preserve"> library. S.L. </w:t>
      </w:r>
      <w:bookmarkStart w:id="23" w:name="_Hlk89172411"/>
      <w:r w:rsidR="00E56AB3" w:rsidRPr="00993C92">
        <w:rPr>
          <w:color w:val="000000" w:themeColor="text1"/>
        </w:rPr>
        <w:t xml:space="preserve">designed strategies to represent the complex databases </w:t>
      </w:r>
      <w:bookmarkStart w:id="24" w:name="_Hlk89172231"/>
      <w:r w:rsidR="00E56AB3" w:rsidRPr="00993C92">
        <w:rPr>
          <w:color w:val="000000" w:themeColor="text1"/>
        </w:rPr>
        <w:t>and devised their coding as peptides</w:t>
      </w:r>
      <w:bookmarkEnd w:id="23"/>
      <w:bookmarkEnd w:id="24"/>
      <w:r w:rsidR="00E56AB3" w:rsidRPr="00993C92">
        <w:rPr>
          <w:color w:val="000000" w:themeColor="text1"/>
        </w:rPr>
        <w:t xml:space="preserve">, </w:t>
      </w:r>
      <w:r w:rsidRPr="00993C92">
        <w:rPr>
          <w:color w:val="000000" w:themeColor="text1"/>
        </w:rPr>
        <w:t xml:space="preserve">designed and implemented the coding of the library. T.V., S.K. planning and calibration of experimental system, and performing biological experiments. S.L. designed and implemented computational pipeline. S.L., I.N.K performed high-throughput data analysis, T.V. analyzed additional data and wrote the manuscript. E.S. and A.W. conceived and directed the project. </w:t>
      </w:r>
      <w:r w:rsidR="00316CE5" w:rsidRPr="00993C92">
        <w:rPr>
          <w:color w:val="000000" w:themeColor="text1"/>
        </w:rPr>
        <w:t>All authors</w:t>
      </w:r>
      <w:r w:rsidRPr="00993C92">
        <w:rPr>
          <w:color w:val="000000" w:themeColor="text1"/>
        </w:rPr>
        <w:t xml:space="preserve"> reviewed and edited the manuscript.</w:t>
      </w:r>
    </w:p>
    <w:p w14:paraId="541119CC" w14:textId="77777777" w:rsidR="00F8373C" w:rsidRPr="00993C92" w:rsidRDefault="00F8373C" w:rsidP="00D51AC4">
      <w:pPr>
        <w:jc w:val="both"/>
        <w:rPr>
          <w:color w:val="000000" w:themeColor="text1"/>
        </w:rPr>
      </w:pPr>
    </w:p>
    <w:bookmarkEnd w:id="22"/>
    <w:p w14:paraId="4BD89AA2" w14:textId="361F392C" w:rsidR="001658D1" w:rsidRPr="00993C92" w:rsidRDefault="001658D1">
      <w:pPr>
        <w:spacing w:line="259" w:lineRule="auto"/>
        <w:rPr>
          <w:color w:val="000000" w:themeColor="text1"/>
        </w:rPr>
      </w:pPr>
      <w:r w:rsidRPr="00993C92">
        <w:rPr>
          <w:color w:val="000000" w:themeColor="text1"/>
        </w:rPr>
        <w:br w:type="page"/>
      </w:r>
    </w:p>
    <w:p w14:paraId="2E9DC40C" w14:textId="46E14CBA" w:rsidR="00DC7EED" w:rsidRPr="00993C92" w:rsidRDefault="001658D1" w:rsidP="001658D1">
      <w:pPr>
        <w:pStyle w:val="Heading1"/>
        <w:rPr>
          <w:color w:val="000000" w:themeColor="text1"/>
        </w:rPr>
      </w:pPr>
      <w:r w:rsidRPr="00993C92">
        <w:rPr>
          <w:color w:val="000000" w:themeColor="text1"/>
        </w:rPr>
        <w:t>Figures and captions</w:t>
      </w:r>
    </w:p>
    <w:p w14:paraId="4C494A52" w14:textId="5EAC0F17" w:rsidR="001658D1" w:rsidRPr="00993C92" w:rsidRDefault="00B17FA7" w:rsidP="000C2E3E">
      <w:pPr>
        <w:pStyle w:val="Heading2"/>
        <w:spacing w:before="0" w:after="120"/>
        <w:rPr>
          <w:color w:val="000000" w:themeColor="text1"/>
        </w:rPr>
      </w:pPr>
      <w:r w:rsidRPr="00993C92">
        <w:rPr>
          <w:color w:val="000000" w:themeColor="text1"/>
        </w:rPr>
        <w:t>Fig. 1</w:t>
      </w:r>
    </w:p>
    <w:p w14:paraId="47EBC08A" w14:textId="5020F4F5" w:rsidR="00B17FA7" w:rsidRPr="00993C92" w:rsidRDefault="00B17FA7" w:rsidP="001658D1">
      <w:pPr>
        <w:rPr>
          <w:color w:val="000000" w:themeColor="text1"/>
        </w:rPr>
      </w:pPr>
    </w:p>
    <w:p w14:paraId="0E6A10FD" w14:textId="40ED38CF" w:rsidR="003D437E" w:rsidRPr="00993C92" w:rsidRDefault="00B17FA7" w:rsidP="00DA2B66">
      <w:pPr>
        <w:spacing w:after="120" w:line="257" w:lineRule="auto"/>
        <w:jc w:val="both"/>
        <w:rPr>
          <w:color w:val="000000" w:themeColor="text1"/>
        </w:rPr>
      </w:pPr>
      <w:bookmarkStart w:id="25" w:name="_Ref86148807"/>
      <w:r w:rsidRPr="00993C92">
        <w:rPr>
          <w:b/>
          <w:bCs/>
          <w:color w:val="000000" w:themeColor="text1"/>
          <w:u w:val="single"/>
        </w:rPr>
        <w:t xml:space="preserve">Fig. </w:t>
      </w:r>
      <w:r w:rsidR="00DC3213" w:rsidRPr="00993C92">
        <w:rPr>
          <w:b/>
          <w:bCs/>
          <w:noProof/>
          <w:color w:val="000000" w:themeColor="text1"/>
          <w:u w:val="single"/>
        </w:rPr>
        <w:t>1</w:t>
      </w:r>
      <w:bookmarkEnd w:id="25"/>
      <w:r w:rsidRPr="00993C92">
        <w:rPr>
          <w:b/>
          <w:bCs/>
          <w:color w:val="000000" w:themeColor="text1"/>
          <w:u w:val="single"/>
        </w:rPr>
        <w:t>:</w:t>
      </w:r>
      <w:r w:rsidRPr="00993C92">
        <w:rPr>
          <w:b/>
          <w:bCs/>
          <w:color w:val="000000" w:themeColor="text1"/>
        </w:rPr>
        <w:t xml:space="preserve"> </w:t>
      </w:r>
      <w:r w:rsidR="00407A31" w:rsidRPr="00993C92">
        <w:rPr>
          <w:b/>
          <w:bCs/>
          <w:color w:val="000000" w:themeColor="text1"/>
        </w:rPr>
        <w:t xml:space="preserve">Profiling of </w:t>
      </w:r>
      <w:r w:rsidR="003C0BE7" w:rsidRPr="00993C92">
        <w:rPr>
          <w:b/>
          <w:bCs/>
          <w:color w:val="000000" w:themeColor="text1"/>
        </w:rPr>
        <w:t>blood samples of a large cohort representing the average adult Israeli population (n=1,003)</w:t>
      </w:r>
      <w:r w:rsidR="00407A31" w:rsidRPr="00993C92">
        <w:rPr>
          <w:b/>
          <w:bCs/>
          <w:color w:val="000000" w:themeColor="text1"/>
        </w:rPr>
        <w:t xml:space="preserve"> by PhIP-Seq detects a variety of antibody responses against </w:t>
      </w:r>
      <w:r w:rsidR="003C0BE7" w:rsidRPr="00993C92">
        <w:rPr>
          <w:b/>
          <w:bCs/>
          <w:color w:val="000000" w:themeColor="text1"/>
        </w:rPr>
        <w:t>food antigens</w:t>
      </w:r>
      <w:r w:rsidR="00407A31" w:rsidRPr="00993C92">
        <w:rPr>
          <w:b/>
          <w:bCs/>
          <w:color w:val="000000" w:themeColor="text1"/>
        </w:rPr>
        <w:t xml:space="preserve"> represented as phage displayed library</w:t>
      </w:r>
      <w:r w:rsidR="003C0BE7" w:rsidRPr="00993C92">
        <w:rPr>
          <w:b/>
          <w:bCs/>
          <w:color w:val="000000" w:themeColor="text1"/>
        </w:rPr>
        <w:t>.</w:t>
      </w:r>
    </w:p>
    <w:p w14:paraId="0F4ABBFC" w14:textId="79C6B771" w:rsidR="003D437E" w:rsidRPr="00993C92" w:rsidRDefault="003D437E" w:rsidP="00DA2B66">
      <w:pPr>
        <w:spacing w:after="120" w:line="257" w:lineRule="auto"/>
        <w:jc w:val="both"/>
        <w:rPr>
          <w:color w:val="000000" w:themeColor="text1"/>
        </w:rPr>
      </w:pPr>
      <w:r w:rsidRPr="00993C92">
        <w:rPr>
          <w:b/>
          <w:bCs/>
          <w:color w:val="000000" w:themeColor="text1"/>
        </w:rPr>
        <w:t>a</w:t>
      </w:r>
      <w:r w:rsidRPr="00993C92">
        <w:rPr>
          <w:color w:val="000000" w:themeColor="text1"/>
        </w:rPr>
        <w:t xml:space="preserve">, Outline of the PhIP-Seq </w:t>
      </w:r>
      <w:r w:rsidR="00282B43" w:rsidRPr="00993C92">
        <w:rPr>
          <w:noProof/>
          <w:color w:val="000000" w:themeColor="text1"/>
        </w:rPr>
        <w:t>(Mohan et al., 2018)</w:t>
      </w:r>
      <w:r w:rsidRPr="00993C92">
        <w:rPr>
          <w:color w:val="000000" w:themeColor="text1"/>
        </w:rPr>
        <w:t xml:space="preserve"> workflow to measure serum Ig epitope repertoires.</w:t>
      </w:r>
      <w:r w:rsidR="00450173" w:rsidRPr="00993C92">
        <w:rPr>
          <w:color w:val="000000" w:themeColor="text1"/>
        </w:rPr>
        <w:t xml:space="preserve"> *All B cell epitopes deposited in the </w:t>
      </w:r>
      <w:r w:rsidR="008C154F" w:rsidRPr="00993C92">
        <w:rPr>
          <w:color w:val="000000" w:themeColor="text1"/>
        </w:rPr>
        <w:t>immune epitope database (</w:t>
      </w:r>
      <w:r w:rsidR="00450173" w:rsidRPr="00993C92">
        <w:rPr>
          <w:color w:val="000000" w:themeColor="text1"/>
        </w:rPr>
        <w:t>IEDB</w:t>
      </w:r>
      <w:r w:rsidR="008C154F" w:rsidRPr="00993C92">
        <w:rPr>
          <w:color w:val="000000" w:themeColor="text1"/>
        </w:rPr>
        <w:t xml:space="preserve">, </w:t>
      </w:r>
      <w:r w:rsidR="00282B43" w:rsidRPr="00993C92">
        <w:rPr>
          <w:noProof/>
          <w:color w:val="000000" w:themeColor="text1"/>
        </w:rPr>
        <w:t>(Vita et al., 2015)</w:t>
      </w:r>
      <w:r w:rsidR="008C154F" w:rsidRPr="00993C92">
        <w:rPr>
          <w:color w:val="000000" w:themeColor="text1"/>
        </w:rPr>
        <w:t xml:space="preserve">) </w:t>
      </w:r>
      <w:r w:rsidR="00450173" w:rsidRPr="00993C92">
        <w:rPr>
          <w:color w:val="000000" w:themeColor="text1"/>
        </w:rPr>
        <w:t xml:space="preserve">except for non-human host and </w:t>
      </w:r>
      <w:r w:rsidR="006F28E5" w:rsidRPr="00993C92">
        <w:rPr>
          <w:color w:val="000000" w:themeColor="text1"/>
        </w:rPr>
        <w:t>Chagas</w:t>
      </w:r>
      <w:r w:rsidR="00450173" w:rsidRPr="00993C92">
        <w:rPr>
          <w:color w:val="000000" w:themeColor="text1"/>
        </w:rPr>
        <w:t xml:space="preserve"> disease were included (</w:t>
      </w:r>
      <w:r w:rsidR="00653903" w:rsidRPr="00993C92">
        <w:rPr>
          <w:color w:val="000000" w:themeColor="text1"/>
        </w:rPr>
        <w:t>STAR m</w:t>
      </w:r>
      <w:r w:rsidR="00450173" w:rsidRPr="00993C92">
        <w:rPr>
          <w:color w:val="000000" w:themeColor="text1"/>
        </w:rPr>
        <w:t>ethods section</w:t>
      </w:r>
      <w:r w:rsidR="006F28E5" w:rsidRPr="00993C92">
        <w:rPr>
          <w:color w:val="000000" w:themeColor="text1"/>
        </w:rPr>
        <w:t>, allergens from IEDB were not counted to this part of the library</w:t>
      </w:r>
      <w:r w:rsidR="00450173" w:rsidRPr="00993C92">
        <w:rPr>
          <w:color w:val="000000" w:themeColor="text1"/>
        </w:rPr>
        <w:t>).</w:t>
      </w:r>
    </w:p>
    <w:p w14:paraId="66D35649" w14:textId="77CC5435" w:rsidR="003D437E" w:rsidRPr="00993C92" w:rsidRDefault="003D437E" w:rsidP="00DA2B66">
      <w:pPr>
        <w:spacing w:after="120" w:line="257" w:lineRule="auto"/>
        <w:jc w:val="both"/>
        <w:rPr>
          <w:color w:val="000000" w:themeColor="text1"/>
        </w:rPr>
      </w:pPr>
      <w:r w:rsidRPr="00993C92">
        <w:rPr>
          <w:b/>
          <w:bCs/>
          <w:color w:val="000000" w:themeColor="text1"/>
        </w:rPr>
        <w:t>b</w:t>
      </w:r>
      <w:r w:rsidRPr="00993C92">
        <w:rPr>
          <w:color w:val="000000" w:themeColor="text1"/>
        </w:rPr>
        <w:t xml:space="preserve">, </w:t>
      </w:r>
      <w:r w:rsidR="00984D55" w:rsidRPr="00993C92">
        <w:rPr>
          <w:color w:val="000000" w:themeColor="text1"/>
        </w:rPr>
        <w:t>Content of the phage displayed 58,2</w:t>
      </w:r>
      <w:r w:rsidR="006F28E5" w:rsidRPr="00993C92">
        <w:rPr>
          <w:color w:val="000000" w:themeColor="text1"/>
        </w:rPr>
        <w:t>3</w:t>
      </w:r>
      <w:r w:rsidR="00984D55" w:rsidRPr="00993C92">
        <w:rPr>
          <w:color w:val="000000" w:themeColor="text1"/>
        </w:rPr>
        <w:t xml:space="preserve">3-variant antigen library. </w:t>
      </w:r>
      <w:r w:rsidR="000C2E3E" w:rsidRPr="00993C92">
        <w:rPr>
          <w:color w:val="000000" w:themeColor="text1"/>
        </w:rPr>
        <w:t xml:space="preserve">The total number of 7,541 proteins </w:t>
      </w:r>
      <w:r w:rsidR="008A404B" w:rsidRPr="00993C92">
        <w:rPr>
          <w:color w:val="000000" w:themeColor="text1"/>
        </w:rPr>
        <w:t xml:space="preserve">encompasses </w:t>
      </w:r>
      <w:r w:rsidR="000C2E3E" w:rsidRPr="00993C92">
        <w:rPr>
          <w:color w:val="000000" w:themeColor="text1"/>
        </w:rPr>
        <w:t>1</w:t>
      </w:r>
      <w:r w:rsidR="00733DCB" w:rsidRPr="00993C92">
        <w:rPr>
          <w:color w:val="000000" w:themeColor="text1"/>
        </w:rPr>
        <w:t>,</w:t>
      </w:r>
      <w:r w:rsidR="000C2E3E" w:rsidRPr="00993C92">
        <w:rPr>
          <w:color w:val="000000" w:themeColor="text1"/>
        </w:rPr>
        <w:t>434</w:t>
      </w:r>
      <w:r w:rsidR="008A404B" w:rsidRPr="00993C92">
        <w:rPr>
          <w:color w:val="000000" w:themeColor="text1"/>
        </w:rPr>
        <w:t xml:space="preserve"> proteins from the IEDB and 6,107 proteins from </w:t>
      </w:r>
      <w:r w:rsidR="008C154F" w:rsidRPr="00993C92">
        <w:rPr>
          <w:color w:val="000000" w:themeColor="text1"/>
        </w:rPr>
        <w:t xml:space="preserve">allergen </w:t>
      </w:r>
      <w:r w:rsidR="008A404B" w:rsidRPr="00993C92">
        <w:rPr>
          <w:color w:val="000000" w:themeColor="text1"/>
        </w:rPr>
        <w:t>databases</w:t>
      </w:r>
      <w:r w:rsidR="008C154F" w:rsidRPr="00993C92">
        <w:rPr>
          <w:color w:val="000000" w:themeColor="text1"/>
        </w:rPr>
        <w:t>. D</w:t>
      </w:r>
      <w:r w:rsidR="008A404B" w:rsidRPr="00993C92">
        <w:rPr>
          <w:color w:val="000000" w:themeColor="text1"/>
        </w:rPr>
        <w:t>ue to</w:t>
      </w:r>
      <w:r w:rsidR="008C154F" w:rsidRPr="00993C92">
        <w:rPr>
          <w:color w:val="000000" w:themeColor="text1"/>
        </w:rPr>
        <w:t xml:space="preserve"> in part</w:t>
      </w:r>
      <w:r w:rsidR="008A404B" w:rsidRPr="00993C92">
        <w:rPr>
          <w:color w:val="000000" w:themeColor="text1"/>
        </w:rPr>
        <w:t xml:space="preserve"> highly similar sequences, these proteins were grouped into 1,</w:t>
      </w:r>
      <w:r w:rsidR="006F28E5" w:rsidRPr="00993C92">
        <w:rPr>
          <w:color w:val="000000" w:themeColor="text1"/>
        </w:rPr>
        <w:t>33</w:t>
      </w:r>
      <w:r w:rsidR="008A404B" w:rsidRPr="00993C92">
        <w:rPr>
          <w:color w:val="000000" w:themeColor="text1"/>
        </w:rPr>
        <w:t>4 lead sequences, that were completely represented, while for the other proteins differences to these lead proteins were encoded as separate peptides</w:t>
      </w:r>
      <w:r w:rsidR="008C154F" w:rsidRPr="00993C92">
        <w:rPr>
          <w:color w:val="000000" w:themeColor="text1"/>
        </w:rPr>
        <w:t xml:space="preserve"> (</w:t>
      </w:r>
      <w:r w:rsidR="00653903" w:rsidRPr="00993C92">
        <w:rPr>
          <w:color w:val="000000" w:themeColor="text1"/>
        </w:rPr>
        <w:t>STAR m</w:t>
      </w:r>
      <w:r w:rsidR="008C154F" w:rsidRPr="00993C92">
        <w:rPr>
          <w:color w:val="000000" w:themeColor="text1"/>
        </w:rPr>
        <w:t>ethods)</w:t>
      </w:r>
      <w:r w:rsidR="008A404B" w:rsidRPr="00993C92">
        <w:rPr>
          <w:color w:val="000000" w:themeColor="text1"/>
        </w:rPr>
        <w:t>.</w:t>
      </w:r>
    </w:p>
    <w:p w14:paraId="7D624734" w14:textId="20E4B5E5" w:rsidR="003D437E" w:rsidRPr="00993C92" w:rsidRDefault="003D437E" w:rsidP="00DA2B66">
      <w:pPr>
        <w:spacing w:after="120" w:line="257" w:lineRule="auto"/>
        <w:jc w:val="both"/>
        <w:rPr>
          <w:color w:val="000000" w:themeColor="text1"/>
        </w:rPr>
      </w:pPr>
      <w:r w:rsidRPr="00993C92">
        <w:rPr>
          <w:b/>
          <w:bCs/>
          <w:color w:val="000000" w:themeColor="text1"/>
        </w:rPr>
        <w:t>c</w:t>
      </w:r>
      <w:r w:rsidRPr="00993C92">
        <w:rPr>
          <w:color w:val="000000" w:themeColor="text1"/>
        </w:rPr>
        <w:t xml:space="preserve">, </w:t>
      </w:r>
      <w:r w:rsidR="00AA73FA" w:rsidRPr="00993C92">
        <w:rPr>
          <w:color w:val="000000" w:themeColor="text1"/>
        </w:rPr>
        <w:t>On average, ~</w:t>
      </w:r>
      <w:r w:rsidR="007A6E44" w:rsidRPr="00993C92">
        <w:rPr>
          <w:color w:val="000000" w:themeColor="text1"/>
        </w:rPr>
        <w:t>322±106</w:t>
      </w:r>
      <w:r w:rsidR="00AA73FA" w:rsidRPr="00993C92">
        <w:rPr>
          <w:color w:val="000000" w:themeColor="text1"/>
        </w:rPr>
        <w:t xml:space="preserve"> peptides of the food and environmental antigen library are significantly </w:t>
      </w:r>
      <w:r w:rsidR="00407A31" w:rsidRPr="00993C92">
        <w:rPr>
          <w:color w:val="000000" w:themeColor="text1"/>
        </w:rPr>
        <w:t xml:space="preserve">(see </w:t>
      </w:r>
      <w:r w:rsidR="00653903" w:rsidRPr="00993C92">
        <w:rPr>
          <w:color w:val="000000" w:themeColor="text1"/>
        </w:rPr>
        <w:t>STAR m</w:t>
      </w:r>
      <w:r w:rsidR="00407A31" w:rsidRPr="00993C92">
        <w:rPr>
          <w:color w:val="000000" w:themeColor="text1"/>
        </w:rPr>
        <w:t xml:space="preserve">ethods for statistical framework) </w:t>
      </w:r>
      <w:r w:rsidR="00AA73FA" w:rsidRPr="00993C92">
        <w:rPr>
          <w:color w:val="000000" w:themeColor="text1"/>
        </w:rPr>
        <w:t>enriched per individual</w:t>
      </w:r>
      <w:r w:rsidR="007A6E44" w:rsidRPr="00993C92">
        <w:rPr>
          <w:color w:val="000000" w:themeColor="text1"/>
        </w:rPr>
        <w:t xml:space="preserve"> (in the full antigen library, 246±97 peptides when excluding controls)</w:t>
      </w:r>
      <w:r w:rsidR="00AA73FA" w:rsidRPr="00993C92">
        <w:rPr>
          <w:color w:val="000000" w:themeColor="text1"/>
        </w:rPr>
        <w:t>. The center line shows the median. Box limits indicate the 25</w:t>
      </w:r>
      <w:r w:rsidR="00AA73FA" w:rsidRPr="00993C92">
        <w:rPr>
          <w:color w:val="000000" w:themeColor="text1"/>
          <w:vertAlign w:val="superscript"/>
        </w:rPr>
        <w:t>th</w:t>
      </w:r>
      <w:r w:rsidR="00AA73FA" w:rsidRPr="00993C92">
        <w:rPr>
          <w:color w:val="000000" w:themeColor="text1"/>
        </w:rPr>
        <w:t xml:space="preserve"> and 75</w:t>
      </w:r>
      <w:r w:rsidR="00AA73FA" w:rsidRPr="00993C92">
        <w:rPr>
          <w:color w:val="000000" w:themeColor="text1"/>
          <w:vertAlign w:val="superscript"/>
        </w:rPr>
        <w:t>th</w:t>
      </w:r>
      <w:r w:rsidR="00AA73FA" w:rsidRPr="00993C92">
        <w:rPr>
          <w:color w:val="000000" w:themeColor="text1"/>
        </w:rPr>
        <w:t xml:space="preserve"> percentiles as determined by Excel software. Whiskers extend to 1.5 times the interquartile range from the 25</w:t>
      </w:r>
      <w:r w:rsidR="00AA73FA" w:rsidRPr="00993C92">
        <w:rPr>
          <w:color w:val="000000" w:themeColor="text1"/>
          <w:vertAlign w:val="superscript"/>
        </w:rPr>
        <w:t>th</w:t>
      </w:r>
      <w:r w:rsidR="00AA73FA" w:rsidRPr="00993C92">
        <w:rPr>
          <w:color w:val="000000" w:themeColor="text1"/>
        </w:rPr>
        <w:t xml:space="preserve"> and 75</w:t>
      </w:r>
      <w:r w:rsidR="00AA73FA" w:rsidRPr="00993C92">
        <w:rPr>
          <w:color w:val="000000" w:themeColor="text1"/>
          <w:vertAlign w:val="superscript"/>
        </w:rPr>
        <w:t>th</w:t>
      </w:r>
      <w:r w:rsidR="00AA73FA" w:rsidRPr="00993C92">
        <w:rPr>
          <w:color w:val="000000" w:themeColor="text1"/>
        </w:rPr>
        <w:t xml:space="preserve"> percentiles. n = 1,0</w:t>
      </w:r>
      <w:r w:rsidR="000A394C" w:rsidRPr="00993C92">
        <w:rPr>
          <w:color w:val="000000" w:themeColor="text1"/>
        </w:rPr>
        <w:t>03</w:t>
      </w:r>
      <w:r w:rsidR="00AA73FA" w:rsidRPr="00993C92">
        <w:rPr>
          <w:color w:val="000000" w:themeColor="text1"/>
        </w:rPr>
        <w:t xml:space="preserve"> individuals.</w:t>
      </w:r>
    </w:p>
    <w:p w14:paraId="6C808130" w14:textId="0B884FDC" w:rsidR="003D437E" w:rsidRPr="00993C92" w:rsidRDefault="003D437E" w:rsidP="00DE71EC">
      <w:pPr>
        <w:spacing w:after="120" w:line="257" w:lineRule="auto"/>
        <w:jc w:val="both"/>
        <w:rPr>
          <w:color w:val="000000" w:themeColor="text1"/>
        </w:rPr>
      </w:pPr>
      <w:r w:rsidRPr="00993C92">
        <w:rPr>
          <w:b/>
          <w:bCs/>
          <w:color w:val="000000" w:themeColor="text1"/>
        </w:rPr>
        <w:t>d</w:t>
      </w:r>
      <w:r w:rsidRPr="00993C92">
        <w:rPr>
          <w:color w:val="000000" w:themeColor="text1"/>
        </w:rPr>
        <w:t>,</w:t>
      </w:r>
      <w:r w:rsidR="00424681" w:rsidRPr="00993C92">
        <w:rPr>
          <w:b/>
          <w:bCs/>
          <w:color w:val="000000" w:themeColor="text1"/>
        </w:rPr>
        <w:t>e</w:t>
      </w:r>
      <w:r w:rsidRPr="00993C92">
        <w:rPr>
          <w:color w:val="000000" w:themeColor="text1"/>
        </w:rPr>
        <w:t xml:space="preserve"> </w:t>
      </w:r>
      <w:r w:rsidR="00A80877" w:rsidRPr="00993C92">
        <w:rPr>
          <w:color w:val="000000" w:themeColor="text1"/>
        </w:rPr>
        <w:t>Comparison of the abundance of antibody responses against p</w:t>
      </w:r>
      <w:r w:rsidR="00AA73FA" w:rsidRPr="00993C92">
        <w:rPr>
          <w:color w:val="000000" w:themeColor="text1"/>
        </w:rPr>
        <w:t xml:space="preserve">roteins from allergen databases </w:t>
      </w:r>
      <w:r w:rsidR="00A80877" w:rsidRPr="00993C92">
        <w:rPr>
          <w:color w:val="000000" w:themeColor="text1"/>
        </w:rPr>
        <w:t>with</w:t>
      </w:r>
      <w:r w:rsidR="00AA73FA" w:rsidRPr="00993C92">
        <w:rPr>
          <w:color w:val="000000" w:themeColor="text1"/>
        </w:rPr>
        <w:t xml:space="preserve"> proteins from the IEDB</w:t>
      </w:r>
      <w:r w:rsidR="00654B7F" w:rsidRPr="00993C92">
        <w:rPr>
          <w:color w:val="000000" w:themeColor="text1"/>
        </w:rPr>
        <w:t>.</w:t>
      </w:r>
      <w:r w:rsidR="00424681" w:rsidRPr="00993C92">
        <w:rPr>
          <w:color w:val="000000" w:themeColor="text1"/>
        </w:rPr>
        <w:t xml:space="preserve"> The coloring in </w:t>
      </w:r>
      <w:r w:rsidR="00424681" w:rsidRPr="00993C92">
        <w:rPr>
          <w:b/>
          <w:bCs/>
          <w:color w:val="000000" w:themeColor="text1"/>
        </w:rPr>
        <w:t>e</w:t>
      </w:r>
      <w:r w:rsidR="00424681" w:rsidRPr="00993C92">
        <w:rPr>
          <w:color w:val="000000" w:themeColor="text1"/>
        </w:rPr>
        <w:t xml:space="preserve"> is the same as in </w:t>
      </w:r>
      <w:r w:rsidR="00424681" w:rsidRPr="00993C92">
        <w:rPr>
          <w:b/>
          <w:bCs/>
          <w:color w:val="000000" w:themeColor="text1"/>
        </w:rPr>
        <w:t>b</w:t>
      </w:r>
      <w:r w:rsidR="00424681" w:rsidRPr="00993C92">
        <w:rPr>
          <w:color w:val="000000" w:themeColor="text1"/>
        </w:rPr>
        <w:t>.</w:t>
      </w:r>
      <w:r w:rsidR="00D42E88" w:rsidRPr="00993C92">
        <w:rPr>
          <w:color w:val="000000" w:themeColor="text1"/>
        </w:rPr>
        <w:t xml:space="preserve"> </w:t>
      </w:r>
      <w:bookmarkStart w:id="26" w:name="_Hlk103265456"/>
      <w:r w:rsidR="00D42E88" w:rsidRPr="00993C92">
        <w:rPr>
          <w:color w:val="000000" w:themeColor="text1"/>
        </w:rPr>
        <w:t>A full list of peptides bound in &gt;</w:t>
      </w:r>
      <w:r w:rsidR="008C154F" w:rsidRPr="00993C92">
        <w:rPr>
          <w:color w:val="000000" w:themeColor="text1"/>
        </w:rPr>
        <w:t>5/10</w:t>
      </w:r>
      <w:r w:rsidR="00D42E88" w:rsidRPr="00993C92">
        <w:rPr>
          <w:color w:val="000000" w:themeColor="text1"/>
        </w:rPr>
        <w:t>% is provided in</w:t>
      </w:r>
      <w:r w:rsidR="007F7988" w:rsidRPr="00993C92">
        <w:rPr>
          <w:color w:val="000000" w:themeColor="text1"/>
        </w:rPr>
        <w:t xml:space="preserve"> Table S 1</w:t>
      </w:r>
      <w:bookmarkEnd w:id="26"/>
      <w:r w:rsidR="008C154F" w:rsidRPr="00993C92">
        <w:rPr>
          <w:color w:val="000000" w:themeColor="text1"/>
        </w:rPr>
        <w:t>)</w:t>
      </w:r>
      <w:r w:rsidR="00DE71EC" w:rsidRPr="00993C92">
        <w:rPr>
          <w:color w:val="000000" w:themeColor="text1"/>
        </w:rPr>
        <w:t>. Statistical test for difference: Number of bound peptides on average 84</w:t>
      </w:r>
      <w:r w:rsidR="00DE71EC" w:rsidRPr="00993C92">
        <w:rPr>
          <w:b/>
          <w:bCs/>
          <w:color w:val="000000" w:themeColor="text1"/>
        </w:rPr>
        <w:t>±</w:t>
      </w:r>
      <w:r w:rsidR="00DE71EC" w:rsidRPr="00993C92">
        <w:rPr>
          <w:color w:val="000000" w:themeColor="text1"/>
        </w:rPr>
        <w:t>56 peptides for</w:t>
      </w:r>
      <w:r w:rsidR="00994911" w:rsidRPr="00993C92">
        <w:rPr>
          <w:color w:val="000000" w:themeColor="text1"/>
        </w:rPr>
        <w:t xml:space="preserve"> proteins from</w:t>
      </w:r>
      <w:r w:rsidR="00DE71EC" w:rsidRPr="00993C92">
        <w:rPr>
          <w:color w:val="000000" w:themeColor="text1"/>
        </w:rPr>
        <w:t xml:space="preserve"> allergen</w:t>
      </w:r>
      <w:r w:rsidR="00994911" w:rsidRPr="00993C92">
        <w:rPr>
          <w:color w:val="000000" w:themeColor="text1"/>
        </w:rPr>
        <w:t xml:space="preserve"> database</w:t>
      </w:r>
      <w:r w:rsidR="00DE71EC" w:rsidRPr="00993C92">
        <w:rPr>
          <w:color w:val="000000" w:themeColor="text1"/>
        </w:rPr>
        <w:t>s (out of 25</w:t>
      </w:r>
      <w:r w:rsidR="001104D6" w:rsidRPr="00993C92">
        <w:rPr>
          <w:color w:val="000000" w:themeColor="text1"/>
        </w:rPr>
        <w:t>,</w:t>
      </w:r>
      <w:r w:rsidR="00DE71EC" w:rsidRPr="00993C92">
        <w:rPr>
          <w:color w:val="000000" w:themeColor="text1"/>
        </w:rPr>
        <w:t>519), 160±54 for IEDB (out of 31410)</w:t>
      </w:r>
      <w:r w:rsidR="00A055D0" w:rsidRPr="00993C92">
        <w:rPr>
          <w:color w:val="000000" w:themeColor="text1"/>
        </w:rPr>
        <w:t xml:space="preserve">. Mann-Whitney test on the proportion of samples significantly bound for each peptide in the allergen </w:t>
      </w:r>
      <w:r w:rsidR="00313799" w:rsidRPr="00993C92">
        <w:rPr>
          <w:color w:val="000000" w:themeColor="text1"/>
        </w:rPr>
        <w:t>database</w:t>
      </w:r>
      <w:r w:rsidR="00994911" w:rsidRPr="00993C92">
        <w:rPr>
          <w:color w:val="000000" w:themeColor="text1"/>
        </w:rPr>
        <w:t xml:space="preserve"> </w:t>
      </w:r>
      <w:r w:rsidR="00A055D0" w:rsidRPr="00993C92">
        <w:rPr>
          <w:color w:val="000000" w:themeColor="text1"/>
        </w:rPr>
        <w:t>group vs. in the IEDB group p-value &lt; 10</w:t>
      </w:r>
      <w:r w:rsidR="00A055D0" w:rsidRPr="00993C92">
        <w:rPr>
          <w:color w:val="000000" w:themeColor="text1"/>
          <w:vertAlign w:val="superscript"/>
        </w:rPr>
        <w:t>-111</w:t>
      </w:r>
      <w:r w:rsidR="00DE71EC" w:rsidRPr="00993C92">
        <w:rPr>
          <w:color w:val="000000" w:themeColor="text1"/>
        </w:rPr>
        <w:t>.</w:t>
      </w:r>
    </w:p>
    <w:p w14:paraId="0E001FC6" w14:textId="01DFB7D0" w:rsidR="00B17FA7" w:rsidRPr="00993C92" w:rsidRDefault="003D437E" w:rsidP="00DA2B66">
      <w:pPr>
        <w:spacing w:after="120" w:line="257" w:lineRule="auto"/>
        <w:jc w:val="both"/>
        <w:rPr>
          <w:color w:val="000000" w:themeColor="text1"/>
        </w:rPr>
      </w:pPr>
      <w:r w:rsidRPr="00993C92">
        <w:rPr>
          <w:b/>
          <w:bCs/>
          <w:color w:val="000000" w:themeColor="text1"/>
        </w:rPr>
        <w:t>f</w:t>
      </w:r>
      <w:r w:rsidRPr="00993C92">
        <w:rPr>
          <w:color w:val="000000" w:themeColor="text1"/>
        </w:rPr>
        <w:t>,</w:t>
      </w:r>
      <w:r w:rsidR="00424681" w:rsidRPr="00993C92">
        <w:rPr>
          <w:b/>
          <w:bCs/>
          <w:color w:val="000000" w:themeColor="text1"/>
        </w:rPr>
        <w:t>g</w:t>
      </w:r>
      <w:r w:rsidR="00424681" w:rsidRPr="00993C92">
        <w:rPr>
          <w:color w:val="000000" w:themeColor="text1"/>
        </w:rPr>
        <w:t xml:space="preserve"> </w:t>
      </w:r>
      <w:r w:rsidR="00D647EA" w:rsidRPr="00993C92">
        <w:rPr>
          <w:color w:val="000000" w:themeColor="text1"/>
        </w:rPr>
        <w:t>Comparison of the m</w:t>
      </w:r>
      <w:r w:rsidR="00424681" w:rsidRPr="00993C92">
        <w:rPr>
          <w:color w:val="000000" w:themeColor="text1"/>
        </w:rPr>
        <w:t xml:space="preserve">agnitude of antibody responses against antigens from allergen databases (mostly </w:t>
      </w:r>
      <w:r w:rsidR="00C96D7A" w:rsidRPr="00993C92">
        <w:rPr>
          <w:color w:val="000000" w:themeColor="text1"/>
        </w:rPr>
        <w:t xml:space="preserve">food proteins) </w:t>
      </w:r>
      <w:r w:rsidR="00D647EA" w:rsidRPr="00993C92">
        <w:rPr>
          <w:color w:val="000000" w:themeColor="text1"/>
        </w:rPr>
        <w:t>vs. antigens from the</w:t>
      </w:r>
      <w:r w:rsidR="00C96D7A" w:rsidRPr="00993C92">
        <w:rPr>
          <w:color w:val="000000" w:themeColor="text1"/>
        </w:rPr>
        <w:t xml:space="preserve"> IEDB</w:t>
      </w:r>
      <w:r w:rsidR="003D5F8D" w:rsidRPr="00993C92">
        <w:rPr>
          <w:color w:val="000000" w:themeColor="text1"/>
        </w:rPr>
        <w:t xml:space="preserve"> (Mann-Whitney test on fold change of all peptides and all samples p-value &lt; 10</w:t>
      </w:r>
      <w:r w:rsidR="003D5F8D" w:rsidRPr="00993C92">
        <w:rPr>
          <w:color w:val="000000" w:themeColor="text1"/>
          <w:vertAlign w:val="superscript"/>
        </w:rPr>
        <w:t>-31</w:t>
      </w:r>
      <w:r w:rsidR="003D5F8D" w:rsidRPr="00993C92">
        <w:rPr>
          <w:color w:val="000000" w:themeColor="text1"/>
        </w:rPr>
        <w:t>)</w:t>
      </w:r>
      <w:r w:rsidR="00C96D7A" w:rsidRPr="00993C92">
        <w:rPr>
          <w:color w:val="000000" w:themeColor="text1"/>
        </w:rPr>
        <w:t xml:space="preserve">. In panel </w:t>
      </w:r>
      <w:r w:rsidR="00C96D7A" w:rsidRPr="00993C92">
        <w:rPr>
          <w:b/>
          <w:bCs/>
          <w:color w:val="000000" w:themeColor="text1"/>
        </w:rPr>
        <w:t>f</w:t>
      </w:r>
      <w:r w:rsidR="00C96D7A" w:rsidRPr="00993C92">
        <w:rPr>
          <w:color w:val="000000" w:themeColor="text1"/>
        </w:rPr>
        <w:t xml:space="preserve"> log FC values (‘Fold change’ referring to the ratio between reads in the IP reaction with antibodies vs. input sequencing of the phage library, an estimate for binding strength)</w:t>
      </w:r>
      <w:r w:rsidR="00E75693" w:rsidRPr="00993C92">
        <w:rPr>
          <w:color w:val="000000" w:themeColor="text1"/>
        </w:rPr>
        <w:t xml:space="preserve"> are plotted for the entire </w:t>
      </w:r>
      <w:r w:rsidR="00D0171B" w:rsidRPr="00993C92">
        <w:rPr>
          <w:color w:val="000000" w:themeColor="text1"/>
        </w:rPr>
        <w:t>library</w:t>
      </w:r>
      <w:r w:rsidR="00C96D7A" w:rsidRPr="00993C92">
        <w:rPr>
          <w:color w:val="000000" w:themeColor="text1"/>
        </w:rPr>
        <w:t xml:space="preserve">. In panel </w:t>
      </w:r>
      <w:r w:rsidR="00C96D7A" w:rsidRPr="00993C92">
        <w:rPr>
          <w:b/>
          <w:bCs/>
          <w:color w:val="000000" w:themeColor="text1"/>
        </w:rPr>
        <w:t>g</w:t>
      </w:r>
      <w:r w:rsidR="00C96D7A" w:rsidRPr="00993C92">
        <w:rPr>
          <w:color w:val="000000" w:themeColor="text1"/>
        </w:rPr>
        <w:t xml:space="preserve"> a histogram of the </w:t>
      </w:r>
      <w:r w:rsidR="00E75693" w:rsidRPr="00993C92">
        <w:rPr>
          <w:color w:val="000000" w:themeColor="text1"/>
        </w:rPr>
        <w:t xml:space="preserve">FC values of the </w:t>
      </w:r>
      <w:r w:rsidR="00C96D7A" w:rsidRPr="00993C92">
        <w:rPr>
          <w:color w:val="000000" w:themeColor="text1"/>
        </w:rPr>
        <w:t>number of peptides bound a</w:t>
      </w:r>
      <w:r w:rsidR="00E75693" w:rsidRPr="00993C92">
        <w:rPr>
          <w:color w:val="000000" w:themeColor="text1"/>
        </w:rPr>
        <w:t>re summarized.</w:t>
      </w:r>
      <w:r w:rsidR="00B17FA7" w:rsidRPr="00993C92">
        <w:rPr>
          <w:color w:val="000000" w:themeColor="text1"/>
        </w:rPr>
        <w:br w:type="page"/>
      </w:r>
    </w:p>
    <w:p w14:paraId="1616C61B" w14:textId="74B4C210" w:rsidR="00123A13" w:rsidRPr="00993C92" w:rsidRDefault="00342897" w:rsidP="00CB3009">
      <w:pPr>
        <w:pStyle w:val="Heading2"/>
        <w:spacing w:before="0" w:after="120"/>
        <w:rPr>
          <w:color w:val="000000" w:themeColor="text1"/>
        </w:rPr>
      </w:pPr>
      <w:r w:rsidRPr="00993C92">
        <w:rPr>
          <w:color w:val="000000" w:themeColor="text1"/>
        </w:rPr>
        <w:t>Fig. 2</w:t>
      </w:r>
    </w:p>
    <w:p w14:paraId="5A2FFDDE" w14:textId="328965EF" w:rsidR="00355AF2" w:rsidRPr="00993C92" w:rsidRDefault="00355AF2">
      <w:pPr>
        <w:spacing w:line="259" w:lineRule="auto"/>
        <w:rPr>
          <w:color w:val="000000" w:themeColor="text1"/>
        </w:rPr>
      </w:pPr>
    </w:p>
    <w:p w14:paraId="361BBCEA" w14:textId="1D431220" w:rsidR="00355AF2" w:rsidRPr="00993C92" w:rsidRDefault="002C7BE7" w:rsidP="00B764AF">
      <w:pPr>
        <w:spacing w:after="120" w:line="259" w:lineRule="auto"/>
        <w:rPr>
          <w:b/>
          <w:bCs/>
          <w:color w:val="000000" w:themeColor="text1"/>
          <w:u w:val="single"/>
        </w:rPr>
      </w:pPr>
      <w:bookmarkStart w:id="27" w:name="_Ref88387279"/>
      <w:r w:rsidRPr="00993C92">
        <w:rPr>
          <w:b/>
          <w:bCs/>
          <w:color w:val="000000" w:themeColor="text1"/>
          <w:u w:val="single"/>
        </w:rPr>
        <w:t xml:space="preserve">Fig. </w:t>
      </w:r>
      <w:r w:rsidR="00DC3213" w:rsidRPr="00993C92">
        <w:rPr>
          <w:b/>
          <w:bCs/>
          <w:noProof/>
          <w:color w:val="000000" w:themeColor="text1"/>
          <w:u w:val="single"/>
        </w:rPr>
        <w:t>2</w:t>
      </w:r>
      <w:bookmarkEnd w:id="27"/>
      <w:r w:rsidRPr="00993C92">
        <w:rPr>
          <w:b/>
          <w:bCs/>
          <w:color w:val="000000" w:themeColor="text1"/>
          <w:u w:val="single"/>
        </w:rPr>
        <w:t>:</w:t>
      </w:r>
      <w:r w:rsidRPr="00993C92">
        <w:rPr>
          <w:b/>
          <w:bCs/>
          <w:color w:val="000000" w:themeColor="text1"/>
        </w:rPr>
        <w:t xml:space="preserve"> </w:t>
      </w:r>
      <w:r w:rsidR="00CB3009" w:rsidRPr="00993C92">
        <w:rPr>
          <w:b/>
          <w:bCs/>
          <w:color w:val="000000" w:themeColor="text1"/>
        </w:rPr>
        <w:t>Frequent</w:t>
      </w:r>
      <w:r w:rsidR="00DA2B66" w:rsidRPr="00993C92">
        <w:rPr>
          <w:b/>
          <w:bCs/>
          <w:color w:val="000000" w:themeColor="text1"/>
        </w:rPr>
        <w:t xml:space="preserve"> antibody responses against food proteins (a,b) cluster to shared epitopes (c-i).</w:t>
      </w:r>
    </w:p>
    <w:p w14:paraId="684A4ADF" w14:textId="5E905B88" w:rsidR="00123A13" w:rsidRPr="00993C92" w:rsidRDefault="00DA2B66" w:rsidP="00B764AF">
      <w:pPr>
        <w:spacing w:after="120" w:line="259" w:lineRule="auto"/>
        <w:jc w:val="both"/>
        <w:rPr>
          <w:color w:val="000000" w:themeColor="text1"/>
        </w:rPr>
      </w:pPr>
      <w:r w:rsidRPr="00993C92">
        <w:rPr>
          <w:b/>
          <w:bCs/>
          <w:color w:val="000000" w:themeColor="text1"/>
        </w:rPr>
        <w:t>a,</w:t>
      </w:r>
      <w:r w:rsidRPr="00993C92">
        <w:rPr>
          <w:color w:val="000000" w:themeColor="text1"/>
        </w:rPr>
        <w:t xml:space="preserve"> The frequency of antibody binding against selected peptides</w:t>
      </w:r>
      <w:r w:rsidR="00460125" w:rsidRPr="00993C92">
        <w:rPr>
          <w:color w:val="000000" w:themeColor="text1"/>
        </w:rPr>
        <w:t xml:space="preserve"> from food proteins is listed</w:t>
      </w:r>
      <w:r w:rsidR="00367C74" w:rsidRPr="00993C92">
        <w:rPr>
          <w:color w:val="000000" w:themeColor="text1"/>
        </w:rPr>
        <w:t xml:space="preserve">. Only proteins for which antibody binding against at </w:t>
      </w:r>
      <w:r w:rsidR="00460125" w:rsidRPr="00993C92">
        <w:rPr>
          <w:color w:val="000000" w:themeColor="text1"/>
        </w:rPr>
        <w:t xml:space="preserve">least two peptides </w:t>
      </w:r>
      <w:r w:rsidR="00367C74" w:rsidRPr="00993C92">
        <w:rPr>
          <w:color w:val="000000" w:themeColor="text1"/>
        </w:rPr>
        <w:t>were detected and where binding against at least one peptide occurred in more than ca. 20% of the cohort,</w:t>
      </w:r>
      <w:r w:rsidR="00CB3009" w:rsidRPr="00993C92">
        <w:rPr>
          <w:color w:val="000000" w:themeColor="text1"/>
        </w:rPr>
        <w:t xml:space="preserve"> see </w:t>
      </w:r>
      <w:r w:rsidR="007F7988" w:rsidRPr="00993C92">
        <w:rPr>
          <w:color w:val="000000" w:themeColor="text1"/>
        </w:rPr>
        <w:t>Table S 1</w:t>
      </w:r>
      <w:r w:rsidR="00CB3009" w:rsidRPr="00993C92">
        <w:rPr>
          <w:color w:val="000000" w:themeColor="text1"/>
        </w:rPr>
        <w:t xml:space="preserve"> for an extended table</w:t>
      </w:r>
      <w:r w:rsidR="00460125" w:rsidRPr="00993C92">
        <w:rPr>
          <w:color w:val="000000" w:themeColor="text1"/>
        </w:rPr>
        <w:t>)</w:t>
      </w:r>
      <w:r w:rsidR="00CB3009" w:rsidRPr="00993C92">
        <w:rPr>
          <w:color w:val="000000" w:themeColor="text1"/>
        </w:rPr>
        <w:t>.</w:t>
      </w:r>
    </w:p>
    <w:p w14:paraId="4CF24E48" w14:textId="6DD799C6" w:rsidR="00460125" w:rsidRPr="00993C92" w:rsidRDefault="00460125" w:rsidP="002D06D9">
      <w:pPr>
        <w:spacing w:after="120" w:line="259" w:lineRule="auto"/>
        <w:jc w:val="both"/>
        <w:rPr>
          <w:color w:val="000000" w:themeColor="text1"/>
        </w:rPr>
      </w:pPr>
      <w:r w:rsidRPr="00993C92">
        <w:rPr>
          <w:b/>
          <w:bCs/>
          <w:color w:val="000000" w:themeColor="text1"/>
        </w:rPr>
        <w:t xml:space="preserve">b, </w:t>
      </w:r>
      <w:r w:rsidRPr="00993C92">
        <w:rPr>
          <w:color w:val="000000" w:themeColor="text1"/>
        </w:rPr>
        <w:t>Alignments of peptides from panel a to the originating proteins. Similar proteins (such as bovine caseins) are grouped together.</w:t>
      </w:r>
      <w:r w:rsidR="00367C74" w:rsidRPr="00993C92">
        <w:rPr>
          <w:color w:val="000000" w:themeColor="text1"/>
        </w:rPr>
        <w:t xml:space="preserve"> Each dark line represents a protein, arrows above represent antibody bound peptide</w:t>
      </w:r>
      <w:r w:rsidR="00FB34FD" w:rsidRPr="00993C92">
        <w:rPr>
          <w:color w:val="000000" w:themeColor="text1"/>
        </w:rPr>
        <w:t xml:space="preserve"> (the % number in the arrow indicates population wide antibody binding abundances [also listed in panel a])</w:t>
      </w:r>
      <w:r w:rsidR="0073089E" w:rsidRPr="00993C92">
        <w:rPr>
          <w:color w:val="000000" w:themeColor="text1"/>
        </w:rPr>
        <w:t xml:space="preserve">, the </w:t>
      </w:r>
      <w:r w:rsidR="00A80877" w:rsidRPr="00993C92">
        <w:rPr>
          <w:color w:val="000000" w:themeColor="text1"/>
        </w:rPr>
        <w:t xml:space="preserve">percentage </w:t>
      </w:r>
      <w:r w:rsidR="0073089E" w:rsidRPr="00993C92">
        <w:rPr>
          <w:color w:val="000000" w:themeColor="text1"/>
        </w:rPr>
        <w:t>of conservation between the protein sequences is illustrated at the bottom</w:t>
      </w:r>
      <w:r w:rsidR="00A85DDB" w:rsidRPr="00993C92">
        <w:rPr>
          <w:color w:val="000000" w:themeColor="text1"/>
        </w:rPr>
        <w:t xml:space="preserve">. </w:t>
      </w:r>
      <w:r w:rsidR="00FB34FD" w:rsidRPr="00993C92">
        <w:rPr>
          <w:color w:val="000000" w:themeColor="text1"/>
        </w:rPr>
        <w:t xml:space="preserve">Conservation was assessed by aligning the protein sequences with </w:t>
      </w:r>
      <w:r w:rsidR="00796B5E" w:rsidRPr="00993C92">
        <w:rPr>
          <w:color w:val="000000" w:themeColor="text1"/>
        </w:rPr>
        <w:t xml:space="preserve">CLC Main Workbench 6.9.2 in standard settings </w:t>
      </w:r>
      <w:r w:rsidR="00FB34FD" w:rsidRPr="00993C92">
        <w:rPr>
          <w:color w:val="000000" w:themeColor="text1"/>
        </w:rPr>
        <w:t xml:space="preserve">(the bars show the conservation ratio from 0 to 1 for each amino acid position). </w:t>
      </w:r>
      <w:r w:rsidR="00F9594D" w:rsidRPr="00993C92">
        <w:rPr>
          <w:color w:val="000000" w:themeColor="text1"/>
        </w:rPr>
        <w:t>Alignments for each protein group are drawn to scale, and all groups are relatively scaled to fit the width of the panel</w:t>
      </w:r>
      <w:r w:rsidR="00FB34FD" w:rsidRPr="00993C92">
        <w:rPr>
          <w:color w:val="000000" w:themeColor="text1"/>
        </w:rPr>
        <w:t xml:space="preserve"> (the y</w:t>
      </w:r>
      <w:r w:rsidR="00796B5E" w:rsidRPr="00993C92">
        <w:rPr>
          <w:color w:val="000000" w:themeColor="text1"/>
        </w:rPr>
        <w:t>-</w:t>
      </w:r>
      <w:r w:rsidR="00FB34FD" w:rsidRPr="00993C92">
        <w:rPr>
          <w:color w:val="000000" w:themeColor="text1"/>
        </w:rPr>
        <w:t xml:space="preserve">axis is simply the </w:t>
      </w:r>
      <w:r w:rsidR="00796B5E" w:rsidRPr="00993C92">
        <w:rPr>
          <w:color w:val="000000" w:themeColor="text1"/>
        </w:rPr>
        <w:t>l</w:t>
      </w:r>
      <w:r w:rsidR="00FB34FD" w:rsidRPr="00993C92">
        <w:rPr>
          <w:color w:val="000000" w:themeColor="text1"/>
        </w:rPr>
        <w:t>ength of the respective amino acid sequence)</w:t>
      </w:r>
      <w:r w:rsidR="00F9594D" w:rsidRPr="00993C92">
        <w:rPr>
          <w:color w:val="000000" w:themeColor="text1"/>
        </w:rPr>
        <w:t xml:space="preserve">. </w:t>
      </w:r>
      <w:r w:rsidR="00F17639" w:rsidRPr="00993C92">
        <w:rPr>
          <w:color w:val="000000" w:themeColor="text1"/>
        </w:rPr>
        <w:t xml:space="preserve">This illustration provides a condensed overview, see </w:t>
      </w:r>
      <w:r w:rsidR="007F7988" w:rsidRPr="00993C92">
        <w:rPr>
          <w:color w:val="000000" w:themeColor="text1"/>
        </w:rPr>
        <w:t>Figure S 2</w:t>
      </w:r>
      <w:r w:rsidR="00F17639" w:rsidRPr="00993C92">
        <w:rPr>
          <w:color w:val="000000" w:themeColor="text1"/>
        </w:rPr>
        <w:t xml:space="preserve"> for detailed alignments.</w:t>
      </w:r>
    </w:p>
    <w:p w14:paraId="23174C28" w14:textId="40A164CC" w:rsidR="00460125" w:rsidRPr="00993C92" w:rsidRDefault="00460125" w:rsidP="002D06D9">
      <w:pPr>
        <w:spacing w:after="120" w:line="259" w:lineRule="auto"/>
        <w:jc w:val="both"/>
        <w:rPr>
          <w:color w:val="000000" w:themeColor="text1"/>
        </w:rPr>
      </w:pPr>
      <w:r w:rsidRPr="00993C92">
        <w:rPr>
          <w:b/>
          <w:bCs/>
          <w:color w:val="000000" w:themeColor="text1"/>
        </w:rPr>
        <w:t xml:space="preserve">c, </w:t>
      </w:r>
      <w:r w:rsidR="00A80877" w:rsidRPr="00993C92">
        <w:rPr>
          <w:color w:val="000000" w:themeColor="text1"/>
        </w:rPr>
        <w:t>Clustering of a</w:t>
      </w:r>
      <w:r w:rsidRPr="00993C92">
        <w:rPr>
          <w:color w:val="000000" w:themeColor="text1"/>
        </w:rPr>
        <w:t xml:space="preserve">ntibody responses against food proteins </w:t>
      </w:r>
      <w:r w:rsidR="00A80877" w:rsidRPr="00993C92">
        <w:rPr>
          <w:color w:val="000000" w:themeColor="text1"/>
        </w:rPr>
        <w:t>to test for</w:t>
      </w:r>
      <w:r w:rsidRPr="00993C92">
        <w:rPr>
          <w:color w:val="000000" w:themeColor="text1"/>
        </w:rPr>
        <w:t xml:space="preserve"> shared epitopes.</w:t>
      </w:r>
      <w:r w:rsidR="004C37CA" w:rsidRPr="00993C92">
        <w:rPr>
          <w:color w:val="000000" w:themeColor="text1"/>
        </w:rPr>
        <w:t xml:space="preserve"> A clustered distance matrix between all peptides from food proteins, which are bound in &gt;2% of the cohort, is shown. Clustering is based on average distance hierarchical clustering, on a distance matrix calculated by the Spearman correlation over the </w:t>
      </w:r>
      <w:r w:rsidR="00D036C1" w:rsidRPr="00993C92">
        <w:rPr>
          <w:color w:val="000000" w:themeColor="text1"/>
        </w:rPr>
        <w:t xml:space="preserve">log </w:t>
      </w:r>
      <w:r w:rsidR="004C37CA" w:rsidRPr="00993C92">
        <w:rPr>
          <w:color w:val="000000" w:themeColor="text1"/>
        </w:rPr>
        <w:t>fold changes of pairs of peptides, on the full set of samples. Marked clusters are all clusters of 10 peptides or above, when setting the clustering height threshold at 0.7.</w:t>
      </w:r>
      <w:r w:rsidR="00CE1A54" w:rsidRPr="00993C92">
        <w:rPr>
          <w:color w:val="000000" w:themeColor="text1"/>
        </w:rPr>
        <w:t xml:space="preserve"> </w:t>
      </w:r>
      <w:r w:rsidR="000C4115" w:rsidRPr="00993C92">
        <w:rPr>
          <w:color w:val="000000" w:themeColor="text1"/>
        </w:rPr>
        <w:t xml:space="preserve">See </w:t>
      </w:r>
      <w:r w:rsidR="00AD4579" w:rsidRPr="00993C92">
        <w:rPr>
          <w:color w:val="000000" w:themeColor="text1"/>
        </w:rPr>
        <w:t xml:space="preserve">Table S </w:t>
      </w:r>
      <w:r w:rsidR="00AD4579" w:rsidRPr="00993C92">
        <w:rPr>
          <w:noProof/>
          <w:color w:val="000000" w:themeColor="text1"/>
        </w:rPr>
        <w:t>2</w:t>
      </w:r>
      <w:r w:rsidR="000C4115" w:rsidRPr="00993C92">
        <w:rPr>
          <w:color w:val="000000" w:themeColor="text1"/>
        </w:rPr>
        <w:t xml:space="preserve"> for detailed information on the bound peptides</w:t>
      </w:r>
      <w:bookmarkStart w:id="28" w:name="_Hlk88832678"/>
      <w:r w:rsidR="004C37CA" w:rsidRPr="00993C92">
        <w:rPr>
          <w:color w:val="000000" w:themeColor="text1"/>
        </w:rPr>
        <w:t>.</w:t>
      </w:r>
      <w:bookmarkEnd w:id="28"/>
      <w:r w:rsidR="00A055D0" w:rsidRPr="00993C92">
        <w:rPr>
          <w:color w:val="000000" w:themeColor="text1"/>
        </w:rPr>
        <w:t xml:space="preserve"> </w:t>
      </w:r>
      <w:r w:rsidR="00CC5C41" w:rsidRPr="00993C92">
        <w:rPr>
          <w:color w:val="000000" w:themeColor="text1"/>
        </w:rPr>
        <w:t>Bottom of the panel: B</w:t>
      </w:r>
      <w:r w:rsidR="00A055D0" w:rsidRPr="00993C92">
        <w:rPr>
          <w:color w:val="000000" w:themeColor="text1"/>
        </w:rPr>
        <w:t>inary classifications if the peptides are part of a category/group (true = green/false = purple). Opaque sections are not part of a marked cluster.</w:t>
      </w:r>
    </w:p>
    <w:p w14:paraId="6370E1E7" w14:textId="47AC5F9C" w:rsidR="005C60F8" w:rsidRPr="00993C92" w:rsidRDefault="00342897">
      <w:pPr>
        <w:spacing w:line="259" w:lineRule="auto"/>
        <w:rPr>
          <w:color w:val="000000" w:themeColor="text1"/>
        </w:rPr>
      </w:pPr>
      <w:r w:rsidRPr="00993C92">
        <w:rPr>
          <w:b/>
          <w:bCs/>
          <w:color w:val="000000" w:themeColor="text1"/>
        </w:rPr>
        <w:t>d-i</w:t>
      </w:r>
      <w:r w:rsidRPr="00993C92">
        <w:rPr>
          <w:color w:val="000000" w:themeColor="text1"/>
        </w:rPr>
        <w:t xml:space="preserve">, Peptides from </w:t>
      </w:r>
      <w:r w:rsidR="007848E2" w:rsidRPr="00993C92">
        <w:rPr>
          <w:color w:val="000000" w:themeColor="text1"/>
        </w:rPr>
        <w:t>representative</w:t>
      </w:r>
      <w:r w:rsidRPr="00993C92">
        <w:rPr>
          <w:color w:val="000000" w:themeColor="text1"/>
        </w:rPr>
        <w:t xml:space="preserve"> clusters shown in panel c were aligned to highlight shared epitopes. </w:t>
      </w:r>
      <w:bookmarkStart w:id="29" w:name="_Hlk103869002"/>
      <w:r w:rsidR="00256030" w:rsidRPr="00993C92">
        <w:rPr>
          <w:color w:val="000000" w:themeColor="text1"/>
        </w:rPr>
        <w:t xml:space="preserve">Alignments were generated with MegaX (MUSCLE algorithm in standard settings, </w:t>
      </w:r>
      <w:r w:rsidR="00282B43" w:rsidRPr="00993C92">
        <w:rPr>
          <w:noProof/>
          <w:color w:val="000000" w:themeColor="text1"/>
        </w:rPr>
        <w:t>(Kumar et al., 2018)</w:t>
      </w:r>
      <w:r w:rsidR="00256030" w:rsidRPr="00993C92">
        <w:rPr>
          <w:color w:val="000000" w:themeColor="text1"/>
        </w:rPr>
        <w:t xml:space="preserve">) and visualized with CLC Main Workbench 6. </w:t>
      </w:r>
      <w:bookmarkEnd w:id="29"/>
      <w:r w:rsidRPr="00993C92">
        <w:rPr>
          <w:color w:val="000000" w:themeColor="text1"/>
        </w:rPr>
        <w:t>Core motifs are shown, whereas the full alignments</w:t>
      </w:r>
      <w:r w:rsidR="007848E2" w:rsidRPr="00993C92">
        <w:rPr>
          <w:color w:val="000000" w:themeColor="text1"/>
        </w:rPr>
        <w:t xml:space="preserve"> and alignments for additional clusters</w:t>
      </w:r>
      <w:r w:rsidRPr="00993C92">
        <w:rPr>
          <w:color w:val="000000" w:themeColor="text1"/>
        </w:rPr>
        <w:t xml:space="preserve"> are provided in </w:t>
      </w:r>
      <w:r w:rsidR="00B13520" w:rsidRPr="00993C92">
        <w:rPr>
          <w:color w:val="000000" w:themeColor="text1"/>
        </w:rPr>
        <w:t xml:space="preserve">Figure S </w:t>
      </w:r>
      <w:r w:rsidR="00B13520" w:rsidRPr="00993C92">
        <w:rPr>
          <w:noProof/>
          <w:color w:val="000000" w:themeColor="text1"/>
        </w:rPr>
        <w:t>3</w:t>
      </w:r>
      <w:r w:rsidR="00CB3009" w:rsidRPr="00993C92">
        <w:rPr>
          <w:color w:val="000000" w:themeColor="text1"/>
        </w:rPr>
        <w:t>.</w:t>
      </w:r>
      <w:r w:rsidR="000508AF" w:rsidRPr="00993C92">
        <w:rPr>
          <w:color w:val="000000" w:themeColor="text1"/>
        </w:rPr>
        <w:br w:type="page"/>
      </w:r>
    </w:p>
    <w:p w14:paraId="7DB85829" w14:textId="104AFC86" w:rsidR="005C60F8" w:rsidRPr="00993C92" w:rsidRDefault="005C60F8" w:rsidP="005C60F8">
      <w:pPr>
        <w:pStyle w:val="Heading2"/>
        <w:spacing w:before="0" w:after="120"/>
        <w:rPr>
          <w:color w:val="000000" w:themeColor="text1"/>
        </w:rPr>
      </w:pPr>
      <w:r w:rsidRPr="00993C92">
        <w:rPr>
          <w:b/>
          <w:bCs/>
          <w:color w:val="000000" w:themeColor="text1"/>
          <w:u w:val="single"/>
        </w:rPr>
        <w:t xml:space="preserve">Fig. </w:t>
      </w:r>
      <w:r w:rsidRPr="00993C92">
        <w:rPr>
          <w:b/>
          <w:bCs/>
          <w:noProof/>
          <w:color w:val="000000" w:themeColor="text1"/>
          <w:u w:val="single"/>
        </w:rPr>
        <w:t>3</w:t>
      </w:r>
    </w:p>
    <w:p w14:paraId="26070809" w14:textId="5AD2A0B3" w:rsidR="005C60F8" w:rsidRPr="00993C92" w:rsidRDefault="005C60F8" w:rsidP="005C60F8">
      <w:pPr>
        <w:spacing w:after="120" w:line="257" w:lineRule="auto"/>
        <w:jc w:val="both"/>
        <w:rPr>
          <w:b/>
          <w:bCs/>
          <w:color w:val="000000" w:themeColor="text1"/>
        </w:rPr>
      </w:pPr>
      <w:bookmarkStart w:id="30" w:name="_Ref118147316"/>
      <w:bookmarkStart w:id="31" w:name="_Ref118147313"/>
      <w:r w:rsidRPr="00993C92">
        <w:rPr>
          <w:b/>
          <w:bCs/>
          <w:color w:val="000000" w:themeColor="text1"/>
          <w:u w:val="single"/>
        </w:rPr>
        <w:t xml:space="preserve">Fig. </w:t>
      </w:r>
      <w:r w:rsidRPr="00993C92">
        <w:rPr>
          <w:b/>
          <w:bCs/>
          <w:noProof/>
          <w:color w:val="000000" w:themeColor="text1"/>
          <w:u w:val="single"/>
        </w:rPr>
        <w:t>3</w:t>
      </w:r>
      <w:bookmarkEnd w:id="30"/>
      <w:r w:rsidRPr="00993C92">
        <w:rPr>
          <w:b/>
          <w:bCs/>
          <w:color w:val="000000" w:themeColor="text1"/>
          <w:u w:val="single"/>
        </w:rPr>
        <w:t>:</w:t>
      </w:r>
      <w:r w:rsidRPr="00993C92">
        <w:rPr>
          <w:b/>
          <w:bCs/>
          <w:color w:val="000000" w:themeColor="text1"/>
        </w:rPr>
        <w:t xml:space="preserve"> </w:t>
      </w:r>
      <w:bookmarkEnd w:id="31"/>
      <w:r w:rsidRPr="00993C92">
        <w:rPr>
          <w:b/>
          <w:bCs/>
          <w:color w:val="000000" w:themeColor="text1"/>
        </w:rPr>
        <w:t xml:space="preserve">Combined clustering of antibody bound peptides from allergen databases and the IEDB (a) shows mixed clusters (b-f) </w:t>
      </w:r>
      <w:r w:rsidR="00AE0415" w:rsidRPr="00993C92">
        <w:rPr>
          <w:b/>
          <w:bCs/>
          <w:color w:val="000000" w:themeColor="text1"/>
        </w:rPr>
        <w:t xml:space="preserve">primarily </w:t>
      </w:r>
      <w:r w:rsidRPr="00993C92">
        <w:rPr>
          <w:b/>
          <w:bCs/>
          <w:color w:val="000000" w:themeColor="text1"/>
        </w:rPr>
        <w:t xml:space="preserve">originating from clustering </w:t>
      </w:r>
      <w:r w:rsidR="00AE0415" w:rsidRPr="00993C92">
        <w:rPr>
          <w:b/>
          <w:bCs/>
          <w:color w:val="000000" w:themeColor="text1"/>
        </w:rPr>
        <w:t>thresholds (g) and cross-reactivity against shared motifs</w:t>
      </w:r>
      <w:r w:rsidRPr="00993C92">
        <w:rPr>
          <w:b/>
          <w:bCs/>
          <w:color w:val="000000" w:themeColor="text1"/>
        </w:rPr>
        <w:t xml:space="preserve"> (</w:t>
      </w:r>
      <w:r w:rsidR="00AE0415" w:rsidRPr="00993C92">
        <w:rPr>
          <w:b/>
          <w:bCs/>
          <w:color w:val="000000" w:themeColor="text1"/>
        </w:rPr>
        <w:t>h</w:t>
      </w:r>
      <w:r w:rsidRPr="00993C92">
        <w:rPr>
          <w:b/>
          <w:bCs/>
          <w:color w:val="000000" w:themeColor="text1"/>
        </w:rPr>
        <w:t>-i).</w:t>
      </w:r>
    </w:p>
    <w:p w14:paraId="76CBFEA2" w14:textId="04D86975" w:rsidR="005C60F8" w:rsidRPr="00993C92" w:rsidRDefault="005C60F8" w:rsidP="005C60F8">
      <w:pPr>
        <w:spacing w:after="120" w:line="257" w:lineRule="auto"/>
        <w:jc w:val="both"/>
        <w:rPr>
          <w:color w:val="000000" w:themeColor="text1"/>
        </w:rPr>
      </w:pPr>
      <w:r w:rsidRPr="00993C92">
        <w:rPr>
          <w:b/>
          <w:bCs/>
          <w:color w:val="000000" w:themeColor="text1"/>
        </w:rPr>
        <w:t>a,</w:t>
      </w:r>
      <w:r w:rsidRPr="00993C92">
        <w:rPr>
          <w:color w:val="000000" w:themeColor="text1"/>
        </w:rPr>
        <w:t xml:space="preserve"> In Fig. 2c (</w:t>
      </w:r>
      <w:r w:rsidR="00B13520" w:rsidRPr="00993C92">
        <w:rPr>
          <w:color w:val="000000" w:themeColor="text1"/>
        </w:rPr>
        <w:t xml:space="preserve">Figure S </w:t>
      </w:r>
      <w:r w:rsidR="00B13520" w:rsidRPr="00993C92">
        <w:rPr>
          <w:noProof/>
          <w:color w:val="000000" w:themeColor="text1"/>
        </w:rPr>
        <w:t>3</w:t>
      </w:r>
      <w:r w:rsidRPr="00993C92">
        <w:rPr>
          <w:color w:val="000000" w:themeColor="text1"/>
        </w:rPr>
        <w:t xml:space="preserve">) and </w:t>
      </w:r>
      <w:r w:rsidR="007D3885" w:rsidRPr="00993C92">
        <w:rPr>
          <w:color w:val="000000" w:themeColor="text1"/>
        </w:rPr>
        <w:t xml:space="preserve">Figure S </w:t>
      </w:r>
      <w:r w:rsidR="007D3885" w:rsidRPr="00993C92">
        <w:rPr>
          <w:noProof/>
          <w:color w:val="000000" w:themeColor="text1"/>
        </w:rPr>
        <w:t>4</w:t>
      </w:r>
      <w:r w:rsidRPr="00993C92">
        <w:rPr>
          <w:color w:val="000000" w:themeColor="text1"/>
        </w:rPr>
        <w:t xml:space="preserve"> peptides from allergen databases (25,527 peptides) or the IEDB (31,436 peptides) were clustered separately. Here, clustering of antibody responses against all 56,963 peptides together is shown (following the same clustering parameters outlined in Fig. 2c, </w:t>
      </w:r>
      <w:r w:rsidR="00B13520" w:rsidRPr="00993C92">
        <w:rPr>
          <w:color w:val="000000" w:themeColor="text1"/>
        </w:rPr>
        <w:t xml:space="preserve">Figure S </w:t>
      </w:r>
      <w:r w:rsidR="00B13520" w:rsidRPr="00993C92">
        <w:rPr>
          <w:noProof/>
          <w:color w:val="000000" w:themeColor="text1"/>
        </w:rPr>
        <w:t>3</w:t>
      </w:r>
      <w:r w:rsidRPr="00993C92">
        <w:rPr>
          <w:color w:val="000000" w:themeColor="text1"/>
        </w:rPr>
        <w:t xml:space="preserve">, </w:t>
      </w:r>
      <w:r w:rsidR="007D3885" w:rsidRPr="00993C92">
        <w:rPr>
          <w:color w:val="000000" w:themeColor="text1"/>
        </w:rPr>
        <w:t xml:space="preserve">Figure S </w:t>
      </w:r>
      <w:r w:rsidR="007D3885" w:rsidRPr="00993C92">
        <w:rPr>
          <w:noProof/>
          <w:color w:val="000000" w:themeColor="text1"/>
        </w:rPr>
        <w:t>4</w:t>
      </w:r>
      <w:r w:rsidRPr="00993C92">
        <w:rPr>
          <w:color w:val="000000" w:themeColor="text1"/>
        </w:rPr>
        <w:t xml:space="preserve">). See </w:t>
      </w:r>
      <w:r w:rsidR="00AD4579" w:rsidRPr="00993C92">
        <w:rPr>
          <w:color w:val="000000" w:themeColor="text1"/>
        </w:rPr>
        <w:t xml:space="preserve">Table S </w:t>
      </w:r>
      <w:r w:rsidR="00AD4579" w:rsidRPr="00993C92">
        <w:rPr>
          <w:noProof/>
          <w:color w:val="000000" w:themeColor="text1"/>
        </w:rPr>
        <w:t>2</w:t>
      </w:r>
      <w:r w:rsidRPr="00993C92">
        <w:rPr>
          <w:color w:val="000000" w:themeColor="text1"/>
        </w:rPr>
        <w:t xml:space="preserve"> for detailed information on the clusters and the bound peptides constituting them.</w:t>
      </w:r>
    </w:p>
    <w:p w14:paraId="0AF483FE" w14:textId="77777777" w:rsidR="005C60F8" w:rsidRPr="00993C92" w:rsidRDefault="005C60F8" w:rsidP="005C60F8">
      <w:pPr>
        <w:spacing w:after="120" w:line="257" w:lineRule="auto"/>
        <w:jc w:val="both"/>
        <w:rPr>
          <w:color w:val="000000" w:themeColor="text1"/>
        </w:rPr>
      </w:pPr>
      <w:r w:rsidRPr="00993C92">
        <w:rPr>
          <w:b/>
          <w:bCs/>
          <w:color w:val="000000" w:themeColor="text1"/>
        </w:rPr>
        <w:t>b-f</w:t>
      </w:r>
      <w:r w:rsidRPr="00993C92">
        <w:rPr>
          <w:color w:val="000000" w:themeColor="text1"/>
        </w:rPr>
        <w:t>, Alignments of mixed clusters containing peptides originating from both allergens databases and the IEDB at the default clustering height threshold (0.7). The blue frame around the clusters shown in panels b-f indicates, that they were calculated at the same threshold.</w:t>
      </w:r>
    </w:p>
    <w:p w14:paraId="6178538E" w14:textId="11AC3E10" w:rsidR="005C60F8" w:rsidRPr="00993C92" w:rsidRDefault="005C60F8" w:rsidP="005C60F8">
      <w:pPr>
        <w:spacing w:after="120" w:line="257" w:lineRule="auto"/>
        <w:jc w:val="both"/>
        <w:rPr>
          <w:color w:val="000000" w:themeColor="text1"/>
        </w:rPr>
      </w:pPr>
      <w:r w:rsidRPr="00993C92">
        <w:rPr>
          <w:b/>
          <w:bCs/>
          <w:color w:val="000000" w:themeColor="text1"/>
        </w:rPr>
        <w:t>G</w:t>
      </w:r>
      <w:r w:rsidRPr="00993C92">
        <w:rPr>
          <w:color w:val="000000" w:themeColor="text1"/>
        </w:rPr>
        <w:t>, Effect of different clustering height thresholds on the number and size of clusters. See</w:t>
      </w:r>
      <w:r w:rsidR="004F5462">
        <w:rPr>
          <w:color w:val="000000" w:themeColor="text1"/>
        </w:rPr>
        <w:t xml:space="preserve"> also</w:t>
      </w:r>
      <w:r w:rsidRPr="00993C92">
        <w:rPr>
          <w:color w:val="000000" w:themeColor="text1"/>
        </w:rPr>
        <w:t xml:space="preserve"> </w:t>
      </w:r>
      <w:r w:rsidR="00562CD6" w:rsidRPr="00993C92">
        <w:rPr>
          <w:color w:val="000000" w:themeColor="text1"/>
        </w:rPr>
        <w:t xml:space="preserve">Figure S </w:t>
      </w:r>
      <w:r w:rsidR="00562CD6" w:rsidRPr="00993C92">
        <w:rPr>
          <w:noProof/>
          <w:color w:val="000000" w:themeColor="text1"/>
        </w:rPr>
        <w:t>4</w:t>
      </w:r>
      <w:r w:rsidRPr="00993C92">
        <w:rPr>
          <w:color w:val="000000" w:themeColor="text1"/>
        </w:rPr>
        <w:t>.</w:t>
      </w:r>
    </w:p>
    <w:p w14:paraId="602A55D6" w14:textId="4681DD5E" w:rsidR="00AE0415" w:rsidRPr="00993C92" w:rsidRDefault="005C60F8" w:rsidP="005C60F8">
      <w:pPr>
        <w:spacing w:after="240" w:line="257" w:lineRule="auto"/>
        <w:jc w:val="both"/>
        <w:rPr>
          <w:color w:val="000000" w:themeColor="text1"/>
        </w:rPr>
      </w:pPr>
      <w:r w:rsidRPr="00993C92">
        <w:rPr>
          <w:b/>
          <w:bCs/>
          <w:color w:val="000000" w:themeColor="text1"/>
        </w:rPr>
        <w:t>H,i</w:t>
      </w:r>
      <w:r w:rsidRPr="00993C92">
        <w:rPr>
          <w:color w:val="000000" w:themeColor="text1"/>
        </w:rPr>
        <w:t xml:space="preserve">, Decreasing the clustering height threshold to 0.6 leaves only two mixed clusters, which each contain shared motifs. These motifs were identified using MEME </w:t>
      </w:r>
      <w:r w:rsidRPr="00993C92">
        <w:rPr>
          <w:noProof/>
          <w:color w:val="000000" w:themeColor="text1"/>
        </w:rPr>
        <w:t>(Bailey and Elkan, 1994; Bailey et al., 2006)</w:t>
      </w:r>
      <w:r w:rsidRPr="00993C92">
        <w:rPr>
          <w:color w:val="000000" w:themeColor="text1"/>
        </w:rPr>
        <w:t xml:space="preserve"> (motif width between 5 and 54 amino acids, max. 10 motifs, motifs occurring in all sequences) and GLAM2 </w:t>
      </w:r>
      <w:r w:rsidRPr="00993C92">
        <w:rPr>
          <w:noProof/>
          <w:color w:val="000000" w:themeColor="text1"/>
        </w:rPr>
        <w:t>(Frith et al., 2008)</w:t>
      </w:r>
      <w:r w:rsidRPr="00993C92">
        <w:rPr>
          <w:color w:val="000000" w:themeColor="text1"/>
        </w:rPr>
        <w:t xml:space="preserve"> (default settings). The purple frame around the clusters shown in panels h and i indicates, that they were calculated at the same threshold.</w:t>
      </w:r>
    </w:p>
    <w:p w14:paraId="5CB268F1" w14:textId="77777777" w:rsidR="00AE0415" w:rsidRPr="00993C92" w:rsidRDefault="00AE0415">
      <w:pPr>
        <w:spacing w:line="259" w:lineRule="auto"/>
        <w:rPr>
          <w:color w:val="000000" w:themeColor="text1"/>
        </w:rPr>
      </w:pPr>
      <w:r w:rsidRPr="00993C92">
        <w:rPr>
          <w:color w:val="000000" w:themeColor="text1"/>
        </w:rPr>
        <w:br w:type="page"/>
      </w:r>
    </w:p>
    <w:p w14:paraId="6A08B8C3" w14:textId="2835D474" w:rsidR="00062250" w:rsidRPr="00993C92" w:rsidRDefault="00C76035" w:rsidP="00062250">
      <w:pPr>
        <w:pStyle w:val="Heading2"/>
        <w:spacing w:before="0" w:after="120"/>
        <w:rPr>
          <w:color w:val="000000" w:themeColor="text1"/>
        </w:rPr>
      </w:pPr>
      <w:r w:rsidRPr="00993C92">
        <w:rPr>
          <w:b/>
          <w:bCs/>
          <w:color w:val="000000" w:themeColor="text1"/>
          <w:u w:val="single"/>
        </w:rPr>
        <w:t xml:space="preserve">Fig. </w:t>
      </w:r>
      <w:r w:rsidRPr="00993C92">
        <w:rPr>
          <w:b/>
          <w:bCs/>
          <w:noProof/>
          <w:color w:val="000000" w:themeColor="text1"/>
          <w:u w:val="single"/>
        </w:rPr>
        <w:t>4</w:t>
      </w:r>
    </w:p>
    <w:p w14:paraId="34F589C7" w14:textId="5B97C940" w:rsidR="005C60F8" w:rsidRPr="00993C92" w:rsidRDefault="005C60F8" w:rsidP="005C60F8">
      <w:pPr>
        <w:spacing w:after="240" w:line="257" w:lineRule="auto"/>
        <w:jc w:val="both"/>
        <w:rPr>
          <w:color w:val="000000" w:themeColor="text1"/>
        </w:rPr>
      </w:pPr>
    </w:p>
    <w:p w14:paraId="03C43FBA" w14:textId="3F37CA39" w:rsidR="00C76035" w:rsidRPr="00993C92" w:rsidRDefault="00062250" w:rsidP="00C76035">
      <w:pPr>
        <w:spacing w:after="0" w:line="257" w:lineRule="auto"/>
        <w:jc w:val="both"/>
        <w:rPr>
          <w:color w:val="000000" w:themeColor="text1"/>
        </w:rPr>
      </w:pPr>
      <w:bookmarkStart w:id="32" w:name="_Ref118219515"/>
      <w:r w:rsidRPr="00993C92">
        <w:rPr>
          <w:b/>
          <w:bCs/>
          <w:color w:val="000000" w:themeColor="text1"/>
          <w:u w:val="single"/>
        </w:rPr>
        <w:t xml:space="preserve">Fig. </w:t>
      </w:r>
      <w:r w:rsidRPr="00993C92">
        <w:rPr>
          <w:b/>
          <w:bCs/>
          <w:noProof/>
          <w:color w:val="000000" w:themeColor="text1"/>
          <w:u w:val="single"/>
        </w:rPr>
        <w:t>4</w:t>
      </w:r>
      <w:bookmarkEnd w:id="32"/>
      <w:r w:rsidRPr="00993C92">
        <w:rPr>
          <w:b/>
          <w:bCs/>
          <w:color w:val="000000" w:themeColor="text1"/>
          <w:u w:val="single"/>
        </w:rPr>
        <w:t xml:space="preserve">: </w:t>
      </w:r>
      <w:r w:rsidR="00C76035" w:rsidRPr="00993C92">
        <w:rPr>
          <w:b/>
          <w:bCs/>
          <w:color w:val="000000" w:themeColor="text1"/>
        </w:rPr>
        <w:t>IgG is the predominant antibody class against food proteins and antigens from the IEDB detected with a protein A/G based PhIP-Seq workflow.</w:t>
      </w:r>
      <w:r w:rsidR="00C76035" w:rsidRPr="00993C92">
        <w:rPr>
          <w:color w:val="000000" w:themeColor="text1"/>
        </w:rPr>
        <w:t xml:space="preserve"> Data of 80 individuals (who had also been analyzed as part of the cohort shown in </w:t>
      </w:r>
      <w:r w:rsidR="00C76035" w:rsidRPr="00993C92">
        <w:rPr>
          <w:color w:val="000000" w:themeColor="text1"/>
          <w:u w:val="single"/>
        </w:rPr>
        <w:t xml:space="preserve">Fig. </w:t>
      </w:r>
      <w:r w:rsidR="00C76035" w:rsidRPr="00993C92">
        <w:rPr>
          <w:noProof/>
          <w:color w:val="000000" w:themeColor="text1"/>
          <w:u w:val="single"/>
        </w:rPr>
        <w:t>1</w:t>
      </w:r>
      <w:r w:rsidR="00C76035" w:rsidRPr="00993C92">
        <w:rPr>
          <w:color w:val="000000" w:themeColor="text1"/>
        </w:rPr>
        <w:t>) are shown. In panels a-f Pearson R is shown.</w:t>
      </w:r>
      <w:r w:rsidR="00ED0D5A" w:rsidRPr="00993C92">
        <w:rPr>
          <w:color w:val="000000" w:themeColor="text1"/>
        </w:rPr>
        <w:t xml:space="preserve"> See Table S </w:t>
      </w:r>
      <w:r w:rsidR="00ED0D5A" w:rsidRPr="00993C92">
        <w:rPr>
          <w:noProof/>
          <w:color w:val="000000" w:themeColor="text1"/>
        </w:rPr>
        <w:t>3</w:t>
      </w:r>
      <w:r w:rsidR="00ED0D5A" w:rsidRPr="00993C92">
        <w:rPr>
          <w:color w:val="000000" w:themeColor="text1"/>
        </w:rPr>
        <w:t xml:space="preserve"> for detailed lists on the respective peptides bound by protein A vs. G beads and in IgA vs. IgG capture experiments</w:t>
      </w:r>
    </w:p>
    <w:p w14:paraId="1ACD839C" w14:textId="055BF558" w:rsidR="00C76035" w:rsidRPr="00993C92" w:rsidRDefault="00C76035" w:rsidP="00C76035">
      <w:pPr>
        <w:spacing w:after="120" w:line="257" w:lineRule="auto"/>
        <w:jc w:val="both"/>
        <w:rPr>
          <w:color w:val="000000" w:themeColor="text1"/>
        </w:rPr>
      </w:pPr>
      <w:r w:rsidRPr="00993C92">
        <w:rPr>
          <w:b/>
          <w:bCs/>
          <w:color w:val="000000" w:themeColor="text1"/>
        </w:rPr>
        <w:t>a-c</w:t>
      </w:r>
      <w:r w:rsidRPr="00993C92">
        <w:rPr>
          <w:color w:val="000000" w:themeColor="text1"/>
        </w:rPr>
        <w:t xml:space="preserve"> Relying on different binding affinities of protein A and G for antibody classes, we processed 80 serum samples each with 1.) a mixture of protein A and G (a), 2.) protein A alone (b), and 3.) protein G alone (c), as outlined in ref. </w:t>
      </w:r>
      <w:r w:rsidRPr="00993C92">
        <w:rPr>
          <w:noProof/>
          <w:color w:val="000000" w:themeColor="text1"/>
        </w:rPr>
        <w:t>(Vogl et al., 2021)</w:t>
      </w:r>
      <w:r w:rsidRPr="00993C92">
        <w:rPr>
          <w:color w:val="000000" w:themeColor="text1"/>
        </w:rPr>
        <w:t xml:space="preserve"> and performed similarly for antibody response against microbiota, see extended discussion below.</w:t>
      </w:r>
    </w:p>
    <w:p w14:paraId="593EC49F" w14:textId="33B897B8" w:rsidR="00C76035" w:rsidRPr="00993C92" w:rsidRDefault="00C76035" w:rsidP="00C76035">
      <w:pPr>
        <w:spacing w:after="120" w:line="257" w:lineRule="auto"/>
        <w:jc w:val="both"/>
        <w:rPr>
          <w:color w:val="000000" w:themeColor="text1"/>
        </w:rPr>
      </w:pPr>
      <w:r w:rsidRPr="00993C92">
        <w:rPr>
          <w:b/>
          <w:bCs/>
          <w:color w:val="000000" w:themeColor="text1"/>
        </w:rPr>
        <w:t>d-f</w:t>
      </w:r>
      <w:r w:rsidRPr="00993C92">
        <w:rPr>
          <w:color w:val="000000" w:themeColor="text1"/>
        </w:rPr>
        <w:t xml:space="preserve"> Application of an experimental workflow to detect IgA and IgG subclasses separately (following procedures reported in the literature </w:t>
      </w:r>
      <w:r w:rsidRPr="00993C92">
        <w:rPr>
          <w:noProof/>
          <w:color w:val="000000" w:themeColor="text1"/>
        </w:rPr>
        <w:t>(Shrock et al., 2020; Vogl et al., 2021)</w:t>
      </w:r>
      <w:r w:rsidRPr="00993C92">
        <w:rPr>
          <w:color w:val="000000" w:themeColor="text1"/>
        </w:rPr>
        <w:t xml:space="preserve"> and STAR methods). In panel d, a comparison of peptides bound by IgA vs. IgG specific beads is shown. Samples with IgG specific beads were sequenced with 0.8 million reads, however we do not expect a strong impact thereof, as the number of detected peptides typically saturates </w:t>
      </w:r>
      <w:r w:rsidRPr="00993C92">
        <w:rPr>
          <w:noProof/>
          <w:color w:val="000000" w:themeColor="text1"/>
        </w:rPr>
        <w:t>(Vogl et al., 2021)</w:t>
      </w:r>
      <w:r w:rsidRPr="00993C92">
        <w:rPr>
          <w:color w:val="000000" w:themeColor="text1"/>
        </w:rPr>
        <w:t>. In panel e and f comparisons of peptides bound by a mixture of protein A and G vs. IgG or IgA specific beads are shown. For the IgA vs. IgG experiments a different batch of phages was used.</w:t>
      </w:r>
    </w:p>
    <w:p w14:paraId="5809F681" w14:textId="31BCCD67" w:rsidR="00C76035" w:rsidRPr="00993C92" w:rsidRDefault="00C76035" w:rsidP="00C76035">
      <w:pPr>
        <w:spacing w:after="120" w:line="257" w:lineRule="auto"/>
        <w:jc w:val="both"/>
        <w:rPr>
          <w:color w:val="000000" w:themeColor="text1"/>
        </w:rPr>
      </w:pPr>
      <w:r w:rsidRPr="00993C92">
        <w:rPr>
          <w:b/>
          <w:bCs/>
          <w:color w:val="000000" w:themeColor="text1"/>
        </w:rPr>
        <w:t xml:space="preserve">G </w:t>
      </w:r>
      <w:r w:rsidRPr="00993C92">
        <w:rPr>
          <w:color w:val="000000" w:themeColor="text1"/>
        </w:rPr>
        <w:t>Number of bound peptides per sample for each set of magnetic beads used. Center lines show the medians; box limits indicate the 25</w:t>
      </w:r>
      <w:r w:rsidRPr="00993C92">
        <w:rPr>
          <w:color w:val="000000" w:themeColor="text1"/>
          <w:vertAlign w:val="superscript"/>
        </w:rPr>
        <w:t>th</w:t>
      </w:r>
      <w:r w:rsidRPr="00993C92">
        <w:rPr>
          <w:color w:val="000000" w:themeColor="text1"/>
        </w:rPr>
        <w:t xml:space="preserve"> and 75</w:t>
      </w:r>
      <w:r w:rsidRPr="00993C92">
        <w:rPr>
          <w:color w:val="000000" w:themeColor="text1"/>
          <w:vertAlign w:val="superscript"/>
        </w:rPr>
        <w:t>th</w:t>
      </w:r>
      <w:r w:rsidRPr="00993C92">
        <w:rPr>
          <w:color w:val="000000" w:themeColor="text1"/>
        </w:rPr>
        <w:t xml:space="preserve"> percentiles as determined by R software; whiskers extend 1.5 times the interquartile range from the 25</w:t>
      </w:r>
      <w:r w:rsidRPr="00993C92">
        <w:rPr>
          <w:color w:val="000000" w:themeColor="text1"/>
          <w:vertAlign w:val="superscript"/>
        </w:rPr>
        <w:t>th</w:t>
      </w:r>
      <w:r w:rsidRPr="00993C92">
        <w:rPr>
          <w:color w:val="000000" w:themeColor="text1"/>
        </w:rPr>
        <w:t xml:space="preserve"> and 75</w:t>
      </w:r>
      <w:r w:rsidRPr="00993C92">
        <w:rPr>
          <w:color w:val="000000" w:themeColor="text1"/>
          <w:vertAlign w:val="superscript"/>
        </w:rPr>
        <w:t>th</w:t>
      </w:r>
      <w:r w:rsidRPr="00993C92">
        <w:rPr>
          <w:color w:val="000000" w:themeColor="text1"/>
        </w:rPr>
        <w:t xml:space="preserve"> percentiles, outliers are represented by dots. N = 80 sample points (plotted with BoxPlotR </w:t>
      </w:r>
      <w:r w:rsidRPr="00993C92">
        <w:rPr>
          <w:noProof/>
          <w:color w:val="000000" w:themeColor="text1"/>
        </w:rPr>
        <w:t>(Spitzer et al., 2014)</w:t>
      </w:r>
      <w:r w:rsidRPr="00993C92">
        <w:rPr>
          <w:color w:val="000000" w:themeColor="text1"/>
        </w:rPr>
        <w:t>).</w:t>
      </w:r>
    </w:p>
    <w:p w14:paraId="6073AF51" w14:textId="378677BB" w:rsidR="00062250" w:rsidRPr="00993C92" w:rsidRDefault="00C76035" w:rsidP="00C76035">
      <w:pPr>
        <w:spacing w:after="120" w:line="257" w:lineRule="auto"/>
        <w:jc w:val="both"/>
        <w:rPr>
          <w:b/>
          <w:bCs/>
          <w:color w:val="000000" w:themeColor="text1"/>
        </w:rPr>
      </w:pPr>
      <w:r w:rsidRPr="00993C92">
        <w:rPr>
          <w:b/>
          <w:bCs/>
          <w:color w:val="000000" w:themeColor="text1"/>
        </w:rPr>
        <w:t>H</w:t>
      </w:r>
      <w:r w:rsidRPr="00993C92">
        <w:rPr>
          <w:color w:val="000000" w:themeColor="text1"/>
        </w:rPr>
        <w:t xml:space="preserve"> Binding of food antigens by IgG highlighted concurring binding data of IgG and protein A/G specific workflows. While in the other panels also antigens from the IEDB are included, here only bound peptides originating from allergen databases (appearing in up to 50% of the population) are plotted. Prominent food antigens are labeled with their common names (</w:t>
      </w:r>
      <w:r w:rsidR="009E4163" w:rsidRPr="00993C92">
        <w:rPr>
          <w:color w:val="000000" w:themeColor="text1"/>
        </w:rPr>
        <w:t xml:space="preserve">see </w:t>
      </w:r>
      <w:r w:rsidR="007F7988" w:rsidRPr="00993C92">
        <w:rPr>
          <w:color w:val="000000" w:themeColor="text1"/>
        </w:rPr>
        <w:t>Table S 1</w:t>
      </w:r>
      <w:r w:rsidRPr="00993C92">
        <w:rPr>
          <w:color w:val="000000" w:themeColor="text1"/>
        </w:rPr>
        <w:t xml:space="preserve"> and </w:t>
      </w:r>
      <w:r w:rsidR="00ED0D5A" w:rsidRPr="00993C92">
        <w:rPr>
          <w:color w:val="000000" w:themeColor="text1"/>
        </w:rPr>
        <w:t xml:space="preserve">Table S </w:t>
      </w:r>
      <w:r w:rsidR="00ED0D5A" w:rsidRPr="00993C92">
        <w:rPr>
          <w:noProof/>
          <w:color w:val="000000" w:themeColor="text1"/>
        </w:rPr>
        <w:t>3</w:t>
      </w:r>
      <w:r w:rsidRPr="00993C92">
        <w:rPr>
          <w:color w:val="000000" w:themeColor="text1"/>
        </w:rPr>
        <w:t xml:space="preserve"> for reference).</w:t>
      </w:r>
    </w:p>
    <w:p w14:paraId="6503041E" w14:textId="044BB016" w:rsidR="005C60F8" w:rsidRPr="00993C92" w:rsidRDefault="005C60F8">
      <w:pPr>
        <w:spacing w:line="259" w:lineRule="auto"/>
        <w:rPr>
          <w:color w:val="000000" w:themeColor="text1"/>
        </w:rPr>
      </w:pPr>
      <w:r w:rsidRPr="00993C92">
        <w:rPr>
          <w:color w:val="000000" w:themeColor="text1"/>
        </w:rPr>
        <w:br w:type="page"/>
      </w:r>
    </w:p>
    <w:p w14:paraId="6ACBEB7A" w14:textId="7013B18F" w:rsidR="001658D1" w:rsidRPr="00993C92" w:rsidRDefault="00062250" w:rsidP="007A575B">
      <w:pPr>
        <w:pStyle w:val="Heading2"/>
        <w:rPr>
          <w:color w:val="000000" w:themeColor="text1"/>
        </w:rPr>
      </w:pPr>
      <w:r w:rsidRPr="00993C92">
        <w:rPr>
          <w:color w:val="000000" w:themeColor="text1"/>
        </w:rPr>
        <w:t>Fig. 5</w:t>
      </w:r>
    </w:p>
    <w:p w14:paraId="0011FAE0" w14:textId="54BCDCA3" w:rsidR="009478CB" w:rsidRPr="00993C92" w:rsidRDefault="009478CB" w:rsidP="009478CB">
      <w:pPr>
        <w:rPr>
          <w:color w:val="000000" w:themeColor="text1"/>
        </w:rPr>
      </w:pPr>
    </w:p>
    <w:p w14:paraId="10AA6C1E" w14:textId="3B89F2F3" w:rsidR="00B826E7" w:rsidRPr="00993C92" w:rsidRDefault="002952DA" w:rsidP="00AC3C91">
      <w:pPr>
        <w:jc w:val="both"/>
        <w:rPr>
          <w:b/>
          <w:bCs/>
          <w:color w:val="000000" w:themeColor="text1"/>
        </w:rPr>
      </w:pPr>
      <w:bookmarkStart w:id="33" w:name="_Ref88460468"/>
      <w:bookmarkStart w:id="34" w:name="_Ref88904890"/>
      <w:r w:rsidRPr="00993C92">
        <w:rPr>
          <w:b/>
          <w:bCs/>
          <w:color w:val="000000" w:themeColor="text1"/>
        </w:rPr>
        <w:t xml:space="preserve">Fig. </w:t>
      </w:r>
      <w:r w:rsidR="00062250" w:rsidRPr="00993C92">
        <w:rPr>
          <w:b/>
          <w:bCs/>
          <w:noProof/>
          <w:color w:val="000000" w:themeColor="text1"/>
        </w:rPr>
        <w:t>5</w:t>
      </w:r>
      <w:bookmarkEnd w:id="33"/>
      <w:bookmarkEnd w:id="34"/>
      <w:r w:rsidRPr="00993C92">
        <w:rPr>
          <w:b/>
          <w:bCs/>
          <w:color w:val="000000" w:themeColor="text1"/>
        </w:rPr>
        <w:t>:</w:t>
      </w:r>
      <w:r w:rsidR="00EF1FE7" w:rsidRPr="00993C92">
        <w:rPr>
          <w:b/>
          <w:bCs/>
          <w:color w:val="000000" w:themeColor="text1"/>
        </w:rPr>
        <w:t xml:space="preserve"> </w:t>
      </w:r>
      <w:r w:rsidR="00C01E3E" w:rsidRPr="00993C92">
        <w:rPr>
          <w:b/>
          <w:bCs/>
          <w:color w:val="000000" w:themeColor="text1"/>
        </w:rPr>
        <w:t>Ig epitope repertoires against food proteins are stable over a period of 5 years and exceed the discriminatory power of antigens from the IEDB.</w:t>
      </w:r>
    </w:p>
    <w:p w14:paraId="55077863" w14:textId="5724235B" w:rsidR="00F7607F" w:rsidRPr="00993C92" w:rsidRDefault="00C01E3E" w:rsidP="00DC2413">
      <w:pPr>
        <w:jc w:val="both"/>
        <w:rPr>
          <w:color w:val="000000" w:themeColor="text1"/>
        </w:rPr>
      </w:pPr>
      <w:r w:rsidRPr="00993C92">
        <w:rPr>
          <w:b/>
          <w:bCs/>
          <w:color w:val="000000" w:themeColor="text1"/>
        </w:rPr>
        <w:t>a-c</w:t>
      </w:r>
      <w:r w:rsidRPr="00993C92">
        <w:rPr>
          <w:color w:val="000000" w:themeColor="text1"/>
        </w:rPr>
        <w:t xml:space="preserve">, </w:t>
      </w:r>
      <w:r w:rsidR="00FF1238" w:rsidRPr="00993C92">
        <w:rPr>
          <w:color w:val="000000" w:themeColor="text1"/>
        </w:rPr>
        <w:t>Antibody epitope repertoire stability of 214 individuals over five years against the entire antigen library (a), proteins from allergen databases (b), and proteins from the IEDB (c). Spearman correlations of log(fold change) over all peptides which appear in &gt;2% of individuals, of all baseline (t = 0) and follow-up (t = 5 years) samples compared with each other are shown (a universal legend is provided next to panel c). Antigen group sizes: entire library: 1,</w:t>
      </w:r>
      <w:r w:rsidR="008F01E2" w:rsidRPr="00993C92">
        <w:rPr>
          <w:color w:val="000000" w:themeColor="text1"/>
        </w:rPr>
        <w:t>670</w:t>
      </w:r>
      <w:r w:rsidR="00FF1238" w:rsidRPr="00993C92">
        <w:rPr>
          <w:color w:val="000000" w:themeColor="text1"/>
        </w:rPr>
        <w:t xml:space="preserve"> peptides; allergen databases 6</w:t>
      </w:r>
      <w:r w:rsidR="008F01E2" w:rsidRPr="00993C92">
        <w:rPr>
          <w:color w:val="000000" w:themeColor="text1"/>
        </w:rPr>
        <w:t>69</w:t>
      </w:r>
      <w:r w:rsidR="00FF1238" w:rsidRPr="00993C92">
        <w:rPr>
          <w:color w:val="000000" w:themeColor="text1"/>
        </w:rPr>
        <w:t>; IEDB 1,0</w:t>
      </w:r>
      <w:r w:rsidR="008F01E2" w:rsidRPr="00993C92">
        <w:rPr>
          <w:color w:val="000000" w:themeColor="text1"/>
        </w:rPr>
        <w:t>01</w:t>
      </w:r>
      <w:r w:rsidR="00FF1238" w:rsidRPr="00993C92">
        <w:rPr>
          <w:color w:val="000000" w:themeColor="text1"/>
        </w:rPr>
        <w:t>.</w:t>
      </w:r>
    </w:p>
    <w:p w14:paraId="374D4EB3" w14:textId="1AFD7150" w:rsidR="00C6578D" w:rsidRPr="00993C92" w:rsidRDefault="00457340" w:rsidP="00DC2413">
      <w:pPr>
        <w:jc w:val="both"/>
        <w:rPr>
          <w:color w:val="000000" w:themeColor="text1"/>
        </w:rPr>
      </w:pPr>
      <w:r w:rsidRPr="00993C92">
        <w:rPr>
          <w:b/>
          <w:bCs/>
          <w:color w:val="000000" w:themeColor="text1"/>
        </w:rPr>
        <w:t>d</w:t>
      </w:r>
      <w:r w:rsidR="00C01E3E" w:rsidRPr="00993C92">
        <w:rPr>
          <w:color w:val="000000" w:themeColor="text1"/>
        </w:rPr>
        <w:t xml:space="preserve">, </w:t>
      </w:r>
      <w:r w:rsidR="00E26387" w:rsidRPr="00993C92">
        <w:rPr>
          <w:color w:val="000000" w:themeColor="text1"/>
        </w:rPr>
        <w:t xml:space="preserve">Correlation coefficients of panels a-c are summarized as box plots to allow for comparison of their stability and discriminatory power. </w:t>
      </w:r>
      <w:r w:rsidR="00FF1238" w:rsidRPr="00993C92">
        <w:rPr>
          <w:color w:val="000000" w:themeColor="text1"/>
        </w:rPr>
        <w:t>Comparisons of random/unmatched pairs of samples (214² − 214 comparisons) and individuals’ matched samples (214 comparisons) collected five years apart. The center line shows the median. Box limits indicate the 25</w:t>
      </w:r>
      <w:r w:rsidR="00FF1238" w:rsidRPr="00993C92">
        <w:rPr>
          <w:color w:val="000000" w:themeColor="text1"/>
          <w:vertAlign w:val="superscript"/>
        </w:rPr>
        <w:t>th</w:t>
      </w:r>
      <w:r w:rsidR="00FF1238" w:rsidRPr="00993C92">
        <w:rPr>
          <w:color w:val="000000" w:themeColor="text1"/>
        </w:rPr>
        <w:t xml:space="preserve"> and 75</w:t>
      </w:r>
      <w:r w:rsidR="00FF1238" w:rsidRPr="00993C92">
        <w:rPr>
          <w:color w:val="000000" w:themeColor="text1"/>
          <w:vertAlign w:val="superscript"/>
        </w:rPr>
        <w:t>th</w:t>
      </w:r>
      <w:r w:rsidR="00FF1238" w:rsidRPr="00993C92">
        <w:rPr>
          <w:color w:val="000000" w:themeColor="text1"/>
        </w:rPr>
        <w:t xml:space="preserve"> percentiles as determined by the python Seaborn package, boxplot. Whiskers extend to 1.5 times the interquartile range from the 25</w:t>
      </w:r>
      <w:r w:rsidR="00FF1238" w:rsidRPr="00993C92">
        <w:rPr>
          <w:color w:val="000000" w:themeColor="text1"/>
          <w:vertAlign w:val="superscript"/>
        </w:rPr>
        <w:t>th</w:t>
      </w:r>
      <w:r w:rsidR="00FF1238" w:rsidRPr="00993C92">
        <w:rPr>
          <w:color w:val="000000" w:themeColor="text1"/>
        </w:rPr>
        <w:t xml:space="preserve"> and 75</w:t>
      </w:r>
      <w:r w:rsidR="00FF1238" w:rsidRPr="00993C92">
        <w:rPr>
          <w:color w:val="000000" w:themeColor="text1"/>
          <w:vertAlign w:val="superscript"/>
        </w:rPr>
        <w:t>th</w:t>
      </w:r>
      <w:r w:rsidR="00FF1238" w:rsidRPr="00993C92">
        <w:rPr>
          <w:color w:val="000000" w:themeColor="text1"/>
        </w:rPr>
        <w:t xml:space="preserve"> </w:t>
      </w:r>
      <w:r w:rsidR="00FF1238" w:rsidRPr="00993C92">
        <w:rPr>
          <w:rFonts w:cstheme="minorHAnsi"/>
          <w:color w:val="000000" w:themeColor="text1"/>
        </w:rPr>
        <w:t>percentiles.</w:t>
      </w:r>
      <w:r w:rsidR="00E26387" w:rsidRPr="00993C92">
        <w:rPr>
          <w:rFonts w:cstheme="minorHAnsi"/>
          <w:color w:val="000000" w:themeColor="text1"/>
        </w:rPr>
        <w:t xml:space="preserve"> </w:t>
      </w:r>
      <w:r w:rsidR="00E26387" w:rsidRPr="00993C92">
        <w:rPr>
          <w:rFonts w:cstheme="minorHAnsi"/>
          <w:color w:val="000000" w:themeColor="text1"/>
          <w:shd w:val="clear" w:color="auto" w:fill="FFFFFF"/>
        </w:rPr>
        <w:t>The difference between the correlations of matched samples, and that of random pairs of samples is significantly higher for allergens</w:t>
      </w:r>
      <w:r w:rsidR="00994911" w:rsidRPr="00993C92">
        <w:rPr>
          <w:rFonts w:cstheme="minorHAnsi"/>
          <w:color w:val="000000" w:themeColor="text1"/>
          <w:shd w:val="clear" w:color="auto" w:fill="FFFFFF"/>
        </w:rPr>
        <w:t xml:space="preserve"> databases</w:t>
      </w:r>
      <w:r w:rsidR="00E26387" w:rsidRPr="00993C92">
        <w:rPr>
          <w:rFonts w:cstheme="minorHAnsi"/>
          <w:color w:val="000000" w:themeColor="text1"/>
          <w:shd w:val="clear" w:color="auto" w:fill="FFFFFF"/>
        </w:rPr>
        <w:t xml:space="preserve"> vs</w:t>
      </w:r>
      <w:r w:rsidR="008F01E2" w:rsidRPr="00993C92">
        <w:rPr>
          <w:rFonts w:cstheme="minorHAnsi"/>
          <w:color w:val="000000" w:themeColor="text1"/>
          <w:shd w:val="clear" w:color="auto" w:fill="FFFFFF"/>
        </w:rPr>
        <w:t>.</w:t>
      </w:r>
      <w:r w:rsidR="00E26387" w:rsidRPr="00993C92">
        <w:rPr>
          <w:rFonts w:cstheme="minorHAnsi"/>
          <w:color w:val="000000" w:themeColor="text1"/>
          <w:shd w:val="clear" w:color="auto" w:fill="FFFFFF"/>
        </w:rPr>
        <w:t xml:space="preserve"> IEDB (Mann-Whitney p-value &lt; 10</w:t>
      </w:r>
      <w:r w:rsidR="00E26387" w:rsidRPr="00993C92">
        <w:rPr>
          <w:rFonts w:cstheme="minorHAnsi"/>
          <w:color w:val="000000" w:themeColor="text1"/>
          <w:shd w:val="clear" w:color="auto" w:fill="FFFFFF"/>
          <w:vertAlign w:val="superscript"/>
        </w:rPr>
        <w:t>-4</w:t>
      </w:r>
      <w:r w:rsidR="008F01E2" w:rsidRPr="00993C92">
        <w:rPr>
          <w:rFonts w:cstheme="minorHAnsi"/>
          <w:color w:val="000000" w:themeColor="text1"/>
          <w:shd w:val="clear" w:color="auto" w:fill="FFFFFF"/>
          <w:vertAlign w:val="superscript"/>
        </w:rPr>
        <w:t>6</w:t>
      </w:r>
      <w:r w:rsidR="00E26387" w:rsidRPr="00993C92">
        <w:rPr>
          <w:rFonts w:cstheme="minorHAnsi"/>
          <w:color w:val="000000" w:themeColor="text1"/>
          <w:shd w:val="clear" w:color="auto" w:fill="FFFFFF"/>
        </w:rPr>
        <w:t>).</w:t>
      </w:r>
      <w:r w:rsidR="005B5471" w:rsidRPr="00993C92">
        <w:rPr>
          <w:rFonts w:cstheme="minorHAnsi"/>
          <w:color w:val="000000" w:themeColor="text1"/>
        </w:rPr>
        <w:t xml:space="preserve"> </w:t>
      </w:r>
      <w:r w:rsidR="00BA5E4C" w:rsidRPr="00993C92">
        <w:rPr>
          <w:rFonts w:cstheme="minorHAnsi"/>
          <w:color w:val="000000" w:themeColor="text1"/>
          <w:shd w:val="clear" w:color="auto" w:fill="FFFFFF"/>
        </w:rPr>
        <w:t xml:space="preserve">Analyses for additional subgroups are shown in </w:t>
      </w:r>
      <w:r w:rsidR="00422FAF" w:rsidRPr="00993C92">
        <w:rPr>
          <w:color w:val="000000" w:themeColor="text1"/>
        </w:rPr>
        <w:t xml:space="preserve">Figure S </w:t>
      </w:r>
      <w:r w:rsidR="00422FAF" w:rsidRPr="00993C92">
        <w:rPr>
          <w:noProof/>
          <w:color w:val="000000" w:themeColor="text1"/>
        </w:rPr>
        <w:t>6</w:t>
      </w:r>
      <w:r w:rsidR="00422FAF" w:rsidRPr="00993C92">
        <w:rPr>
          <w:color w:val="000000" w:themeColor="text1"/>
        </w:rPr>
        <w:t>a,b</w:t>
      </w:r>
      <w:r w:rsidR="00BA5E4C" w:rsidRPr="00993C92">
        <w:rPr>
          <w:rFonts w:cstheme="minorHAnsi"/>
          <w:color w:val="000000" w:themeColor="text1"/>
          <w:shd w:val="clear" w:color="auto" w:fill="FFFFFF"/>
        </w:rPr>
        <w:t>.</w:t>
      </w:r>
    </w:p>
    <w:p w14:paraId="7C1CEA57" w14:textId="17F054E8" w:rsidR="00DB1358" w:rsidRPr="00993C92" w:rsidRDefault="00DB1358" w:rsidP="00E26387">
      <w:pPr>
        <w:jc w:val="both"/>
        <w:rPr>
          <w:color w:val="000000" w:themeColor="text1"/>
        </w:rPr>
      </w:pPr>
      <w:r w:rsidRPr="00993C92">
        <w:rPr>
          <w:b/>
          <w:bCs/>
          <w:color w:val="000000" w:themeColor="text1"/>
        </w:rPr>
        <w:t>e</w:t>
      </w:r>
      <w:r w:rsidR="00C01E3E" w:rsidRPr="00993C92">
        <w:rPr>
          <w:color w:val="000000" w:themeColor="text1"/>
        </w:rPr>
        <w:t xml:space="preserve">, </w:t>
      </w:r>
      <w:r w:rsidR="00CC5C41" w:rsidRPr="00993C92">
        <w:rPr>
          <w:color w:val="000000" w:themeColor="text1"/>
        </w:rPr>
        <w:t xml:space="preserve">Comparing stability of antibody responses between different groups of antigens. For each peptide, each individual was marked binding the peptide for each point in time. Upon summing individuals, a two-by-two matrix of first vs. second time points was constructed. A chi-square score was computed on said matrix to assess stability compared to expected stability. All p-values were corrected using Benjamini-Yekutieli FDR correction (no assumption of independence) with 0.05 threshold. For each sub-group of peptides, the number of passed peptides is shown in yellow, vs. the expected that appears in green. </w:t>
      </w:r>
      <w:r w:rsidR="0014299C" w:rsidRPr="00993C92">
        <w:rPr>
          <w:color w:val="000000" w:themeColor="text1"/>
        </w:rPr>
        <w:t xml:space="preserve">This test was performed on a group of 214 individuals, for which we have two serum samples 5 years apart. The set of </w:t>
      </w:r>
      <w:r w:rsidR="007E6043" w:rsidRPr="00993C92">
        <w:rPr>
          <w:color w:val="000000" w:themeColor="text1"/>
        </w:rPr>
        <w:t>antibody bound peptides</w:t>
      </w:r>
      <w:r w:rsidR="0014299C" w:rsidRPr="00993C92">
        <w:rPr>
          <w:color w:val="000000" w:themeColor="text1"/>
        </w:rPr>
        <w:t xml:space="preserve"> tested was the </w:t>
      </w:r>
      <w:r w:rsidR="008F01E2" w:rsidRPr="00993C92">
        <w:rPr>
          <w:color w:val="000000" w:themeColor="text1"/>
        </w:rPr>
        <w:t xml:space="preserve">same </w:t>
      </w:r>
      <w:r w:rsidR="0014299C" w:rsidRPr="00993C92">
        <w:rPr>
          <w:color w:val="000000" w:themeColor="text1"/>
        </w:rPr>
        <w:t>1,</w:t>
      </w:r>
      <w:r w:rsidR="008F01E2" w:rsidRPr="00993C92">
        <w:rPr>
          <w:color w:val="000000" w:themeColor="text1"/>
        </w:rPr>
        <w:t>670</w:t>
      </w:r>
      <w:r w:rsidR="0014299C" w:rsidRPr="00993C92">
        <w:rPr>
          <w:color w:val="000000" w:themeColor="text1"/>
        </w:rPr>
        <w:t xml:space="preserve"> </w:t>
      </w:r>
      <w:r w:rsidR="008F01E2" w:rsidRPr="00993C92">
        <w:rPr>
          <w:color w:val="000000" w:themeColor="text1"/>
        </w:rPr>
        <w:t>peptides mentioned in panel a</w:t>
      </w:r>
      <w:r w:rsidR="0014299C" w:rsidRPr="00993C92">
        <w:rPr>
          <w:color w:val="000000" w:themeColor="text1"/>
        </w:rPr>
        <w:t>.</w:t>
      </w:r>
      <w:r w:rsidRPr="00993C92">
        <w:rPr>
          <w:color w:val="000000" w:themeColor="text1"/>
        </w:rPr>
        <w:br w:type="page"/>
      </w:r>
    </w:p>
    <w:p w14:paraId="67FE9A4B" w14:textId="3D2F561B" w:rsidR="00B826E7" w:rsidRPr="00993C92" w:rsidRDefault="00062250" w:rsidP="00D61956">
      <w:pPr>
        <w:pStyle w:val="Heading2"/>
        <w:spacing w:before="0" w:after="120"/>
        <w:rPr>
          <w:color w:val="000000" w:themeColor="text1"/>
        </w:rPr>
      </w:pPr>
      <w:r w:rsidRPr="00993C92">
        <w:rPr>
          <w:color w:val="000000" w:themeColor="text1"/>
        </w:rPr>
        <w:t xml:space="preserve">Fig. </w:t>
      </w:r>
      <w:r w:rsidRPr="00993C92">
        <w:rPr>
          <w:noProof/>
          <w:color w:val="000000" w:themeColor="text1"/>
        </w:rPr>
        <w:t>6</w:t>
      </w:r>
    </w:p>
    <w:p w14:paraId="65A78DFA" w14:textId="4A81CA95" w:rsidR="00B826E7" w:rsidRPr="00993C92" w:rsidRDefault="00B826E7" w:rsidP="001658D1">
      <w:pPr>
        <w:rPr>
          <w:color w:val="000000" w:themeColor="text1"/>
        </w:rPr>
      </w:pPr>
    </w:p>
    <w:p w14:paraId="52DBE3E1" w14:textId="0BDA4700" w:rsidR="00DC3213" w:rsidRPr="00993C92" w:rsidRDefault="00DC3213" w:rsidP="00F85B0B">
      <w:pPr>
        <w:spacing w:after="60" w:line="240" w:lineRule="auto"/>
        <w:jc w:val="both"/>
        <w:rPr>
          <w:b/>
          <w:bCs/>
          <w:color w:val="000000" w:themeColor="text1"/>
        </w:rPr>
      </w:pPr>
      <w:bookmarkStart w:id="35" w:name="_Ref88481532"/>
      <w:r w:rsidRPr="00993C92">
        <w:rPr>
          <w:b/>
          <w:bCs/>
          <w:color w:val="000000" w:themeColor="text1"/>
          <w:u w:val="single"/>
        </w:rPr>
        <w:t xml:space="preserve">Fig. </w:t>
      </w:r>
      <w:r w:rsidR="00062250" w:rsidRPr="00993C92">
        <w:rPr>
          <w:b/>
          <w:bCs/>
          <w:noProof/>
          <w:color w:val="000000" w:themeColor="text1"/>
          <w:u w:val="single"/>
        </w:rPr>
        <w:t>6</w:t>
      </w:r>
      <w:bookmarkEnd w:id="35"/>
      <w:r w:rsidRPr="00993C92">
        <w:rPr>
          <w:b/>
          <w:bCs/>
          <w:color w:val="000000" w:themeColor="text1"/>
        </w:rPr>
        <w:t>: Antibody responses against food proteins associate with and predict age, gender, and dietary intake.</w:t>
      </w:r>
      <w:r w:rsidR="00BA5E4C" w:rsidRPr="00993C92">
        <w:rPr>
          <w:b/>
          <w:bCs/>
          <w:color w:val="000000" w:themeColor="text1"/>
        </w:rPr>
        <w:t xml:space="preserve"> </w:t>
      </w:r>
      <w:r w:rsidR="00BA5E4C" w:rsidRPr="00993C92">
        <w:rPr>
          <w:color w:val="000000" w:themeColor="text1"/>
        </w:rPr>
        <w:t xml:space="preserve">A list of the significantly </w:t>
      </w:r>
      <w:r w:rsidR="003C0BE7" w:rsidRPr="00993C92">
        <w:rPr>
          <w:color w:val="000000" w:themeColor="text1"/>
        </w:rPr>
        <w:t xml:space="preserve">(Fisher’s exact test) </w:t>
      </w:r>
      <w:r w:rsidR="00BA5E4C" w:rsidRPr="00993C92">
        <w:rPr>
          <w:color w:val="000000" w:themeColor="text1"/>
        </w:rPr>
        <w:t xml:space="preserve">different peptides (relating to panels a, d, g) as well peptides driving SHAP analyses (panels c,f,i) is provided in </w:t>
      </w:r>
      <w:r w:rsidR="002615A5" w:rsidRPr="00993C92">
        <w:rPr>
          <w:color w:val="000000" w:themeColor="text1"/>
        </w:rPr>
        <w:t xml:space="preserve">Table S </w:t>
      </w:r>
      <w:r w:rsidR="002615A5" w:rsidRPr="00993C92">
        <w:rPr>
          <w:noProof/>
          <w:color w:val="000000" w:themeColor="text1"/>
        </w:rPr>
        <w:t>4</w:t>
      </w:r>
      <w:r w:rsidR="00BA5E4C" w:rsidRPr="00993C92">
        <w:rPr>
          <w:color w:val="000000" w:themeColor="text1"/>
        </w:rPr>
        <w:t>.</w:t>
      </w:r>
    </w:p>
    <w:p w14:paraId="7F135E6A" w14:textId="1C1FA9C5" w:rsidR="00106E01" w:rsidRPr="00993C92" w:rsidRDefault="00106E01" w:rsidP="00F85B0B">
      <w:pPr>
        <w:spacing w:after="60" w:line="240" w:lineRule="auto"/>
        <w:jc w:val="both"/>
        <w:rPr>
          <w:color w:val="000000" w:themeColor="text1"/>
        </w:rPr>
      </w:pPr>
      <w:r w:rsidRPr="00993C92">
        <w:rPr>
          <w:b/>
          <w:bCs/>
          <w:color w:val="000000" w:themeColor="text1"/>
        </w:rPr>
        <w:t>a</w:t>
      </w:r>
      <w:r w:rsidR="00D05840" w:rsidRPr="00993C92">
        <w:rPr>
          <w:b/>
          <w:bCs/>
          <w:color w:val="000000" w:themeColor="text1"/>
        </w:rPr>
        <w:t>-c</w:t>
      </w:r>
      <w:r w:rsidRPr="00993C92">
        <w:rPr>
          <w:b/>
          <w:bCs/>
          <w:color w:val="000000" w:themeColor="text1"/>
        </w:rPr>
        <w:t>,</w:t>
      </w:r>
      <w:r w:rsidRPr="00993C92">
        <w:rPr>
          <w:color w:val="000000" w:themeColor="text1"/>
        </w:rPr>
        <w:t xml:space="preserve"> </w:t>
      </w:r>
      <w:r w:rsidR="00BA6C68" w:rsidRPr="00993C92">
        <w:rPr>
          <w:color w:val="000000" w:themeColor="text1"/>
        </w:rPr>
        <w:t xml:space="preserve">Age associations (a) and predictions (b,c). In panel a, each dot represents a peptide, with its </w:t>
      </w:r>
      <w:r w:rsidR="000C78C3" w:rsidRPr="00993C92">
        <w:rPr>
          <w:color w:val="000000" w:themeColor="text1"/>
        </w:rPr>
        <w:t xml:space="preserve">prevalence </w:t>
      </w:r>
      <w:r w:rsidR="00BA6C68" w:rsidRPr="00993C92">
        <w:rPr>
          <w:color w:val="000000" w:themeColor="text1"/>
        </w:rPr>
        <w:t>in the respective cohort</w:t>
      </w:r>
      <w:r w:rsidR="00BA0887" w:rsidRPr="00993C92">
        <w:rPr>
          <w:color w:val="000000" w:themeColor="text1"/>
        </w:rPr>
        <w:t xml:space="preserve"> (youngest quintile &lt;31 years of age, n=192; oldest quintile &gt;56 yoa., n=197)</w:t>
      </w:r>
      <w:r w:rsidR="00BA6C68" w:rsidRPr="00993C92">
        <w:rPr>
          <w:color w:val="000000" w:themeColor="text1"/>
        </w:rPr>
        <w:t xml:space="preserve"> plotted on the x and y axes. </w:t>
      </w:r>
      <w:r w:rsidR="00F800D3" w:rsidRPr="00993C92">
        <w:rPr>
          <w:color w:val="000000" w:themeColor="text1"/>
        </w:rPr>
        <w:t xml:space="preserve">Selected food antigens are marked with arrows, see </w:t>
      </w:r>
      <w:r w:rsidR="002615A5" w:rsidRPr="00993C92">
        <w:rPr>
          <w:color w:val="000000" w:themeColor="text1"/>
        </w:rPr>
        <w:t xml:space="preserve">Table S </w:t>
      </w:r>
      <w:r w:rsidR="002615A5" w:rsidRPr="00993C92">
        <w:rPr>
          <w:noProof/>
          <w:color w:val="000000" w:themeColor="text1"/>
        </w:rPr>
        <w:t>4</w:t>
      </w:r>
      <w:r w:rsidR="00F800D3" w:rsidRPr="00993C92">
        <w:rPr>
          <w:color w:val="000000" w:themeColor="text1"/>
        </w:rPr>
        <w:t xml:space="preserve"> for details. </w:t>
      </w:r>
      <w:r w:rsidR="00BA6C68" w:rsidRPr="00993C92">
        <w:rPr>
          <w:color w:val="000000" w:themeColor="text1"/>
        </w:rPr>
        <w:t xml:space="preserve">Machine learning based </w:t>
      </w:r>
      <w:r w:rsidR="00CC6490" w:rsidRPr="00993C92">
        <w:rPr>
          <w:color w:val="000000" w:themeColor="text1"/>
        </w:rPr>
        <w:t>predictions</w:t>
      </w:r>
      <w:r w:rsidR="00BA6C68" w:rsidRPr="00993C92">
        <w:rPr>
          <w:color w:val="000000" w:themeColor="text1"/>
        </w:rPr>
        <w:t xml:space="preserve"> were </w:t>
      </w:r>
      <w:r w:rsidRPr="00993C92">
        <w:rPr>
          <w:color w:val="000000" w:themeColor="text1"/>
        </w:rPr>
        <w:t xml:space="preserve">performed with </w:t>
      </w:r>
      <w:r w:rsidR="00CC18AE" w:rsidRPr="00993C92">
        <w:rPr>
          <w:color w:val="000000" w:themeColor="text1"/>
        </w:rPr>
        <w:t>Gradient Boosting trees</w:t>
      </w:r>
      <w:r w:rsidR="00564C49" w:rsidRPr="00993C92">
        <w:rPr>
          <w:color w:val="000000" w:themeColor="text1"/>
        </w:rPr>
        <w:t xml:space="preserve"> </w:t>
      </w:r>
      <w:r w:rsidRPr="00993C92">
        <w:rPr>
          <w:color w:val="000000" w:themeColor="text1"/>
        </w:rPr>
        <w:t>with 10-fold cross-validation</w:t>
      </w:r>
      <w:r w:rsidR="00CC18AE" w:rsidRPr="00993C92">
        <w:rPr>
          <w:color w:val="000000" w:themeColor="text1"/>
        </w:rPr>
        <w:t xml:space="preserve"> </w:t>
      </w:r>
      <w:r w:rsidR="00653903" w:rsidRPr="00993C92">
        <w:rPr>
          <w:color w:val="000000" w:themeColor="text1"/>
        </w:rPr>
        <w:t xml:space="preserve">(STAR methods </w:t>
      </w:r>
      <w:r w:rsidR="00CC18AE" w:rsidRPr="00993C92">
        <w:rPr>
          <w:color w:val="000000" w:themeColor="text1"/>
        </w:rPr>
        <w:t>section,</w:t>
      </w:r>
      <w:r w:rsidR="00BA6C68" w:rsidRPr="00993C92">
        <w:rPr>
          <w:color w:val="000000" w:themeColor="text1"/>
        </w:rPr>
        <w:t xml:space="preserve"> b) and contributing features, representing antibody responses, were evaluated by SHAP analysis </w:t>
      </w:r>
      <w:r w:rsidR="00282B43" w:rsidRPr="00993C92">
        <w:rPr>
          <w:noProof/>
          <w:color w:val="000000" w:themeColor="text1"/>
        </w:rPr>
        <w:t>(Lundberg and Lee, 2017)</w:t>
      </w:r>
      <w:r w:rsidR="00CC6490" w:rsidRPr="00993C92">
        <w:rPr>
          <w:color w:val="000000" w:themeColor="text1"/>
        </w:rPr>
        <w:t>.</w:t>
      </w:r>
      <w:r w:rsidR="00BA5E4C" w:rsidRPr="00993C92">
        <w:rPr>
          <w:color w:val="000000" w:themeColor="text1"/>
        </w:rPr>
        <w:t xml:space="preserve"> </w:t>
      </w:r>
      <w:r w:rsidR="00971A6A" w:rsidRPr="00993C92">
        <w:rPr>
          <w:color w:val="000000" w:themeColor="text1"/>
        </w:rPr>
        <w:t>Yob – year of birth.</w:t>
      </w:r>
      <w:r w:rsidR="009F3682" w:rsidRPr="00993C92">
        <w:rPr>
          <w:color w:val="000000" w:themeColor="text1"/>
        </w:rPr>
        <w:t xml:space="preserve"> The numeric identifiers of peptides can be found in the supporting library content file (see Data availability statement).</w:t>
      </w:r>
    </w:p>
    <w:p w14:paraId="0E2BC4A9" w14:textId="23804D04" w:rsidR="00CC6490" w:rsidRPr="00993C92" w:rsidRDefault="00CC6490" w:rsidP="00F85B0B">
      <w:pPr>
        <w:spacing w:after="60" w:line="240" w:lineRule="auto"/>
        <w:jc w:val="both"/>
        <w:rPr>
          <w:color w:val="000000" w:themeColor="text1"/>
        </w:rPr>
      </w:pPr>
      <w:r w:rsidRPr="00993C92">
        <w:rPr>
          <w:b/>
          <w:bCs/>
          <w:color w:val="000000" w:themeColor="text1"/>
        </w:rPr>
        <w:t>d-</w:t>
      </w:r>
      <w:r w:rsidR="004373AA" w:rsidRPr="00993C92">
        <w:rPr>
          <w:b/>
          <w:bCs/>
          <w:color w:val="000000" w:themeColor="text1"/>
        </w:rPr>
        <w:t>f</w:t>
      </w:r>
      <w:r w:rsidRPr="00993C92">
        <w:rPr>
          <w:color w:val="000000" w:themeColor="text1"/>
        </w:rPr>
        <w:t xml:space="preserve">, Gender </w:t>
      </w:r>
      <w:r w:rsidR="004373AA" w:rsidRPr="00993C92">
        <w:rPr>
          <w:color w:val="000000" w:themeColor="text1"/>
        </w:rPr>
        <w:t xml:space="preserve">associations (d), </w:t>
      </w:r>
      <w:r w:rsidRPr="00993C92">
        <w:rPr>
          <w:color w:val="000000" w:themeColor="text1"/>
        </w:rPr>
        <w:t xml:space="preserve">prediction with Machine learning with </w:t>
      </w:r>
      <w:r w:rsidR="00562456" w:rsidRPr="00993C92">
        <w:rPr>
          <w:color w:val="000000" w:themeColor="text1"/>
        </w:rPr>
        <w:t>Gradient Boosting trees</w:t>
      </w:r>
      <w:r w:rsidRPr="00993C92">
        <w:rPr>
          <w:color w:val="000000" w:themeColor="text1"/>
        </w:rPr>
        <w:t xml:space="preserve"> with 10-fold cross-validation (</w:t>
      </w:r>
      <w:r w:rsidR="004373AA" w:rsidRPr="00993C92">
        <w:rPr>
          <w:color w:val="000000" w:themeColor="text1"/>
        </w:rPr>
        <w:t>e</w:t>
      </w:r>
      <w:r w:rsidRPr="00993C92">
        <w:rPr>
          <w:color w:val="000000" w:themeColor="text1"/>
        </w:rPr>
        <w:t>) as well as SHAP analysis of contributing features (</w:t>
      </w:r>
      <w:r w:rsidR="004373AA" w:rsidRPr="00993C92">
        <w:rPr>
          <w:color w:val="000000" w:themeColor="text1"/>
        </w:rPr>
        <w:t xml:space="preserve">f, </w:t>
      </w:r>
      <w:r w:rsidRPr="00993C92">
        <w:rPr>
          <w:color w:val="000000" w:themeColor="text1"/>
        </w:rPr>
        <w:t>similar to panel c).</w:t>
      </w:r>
      <w:r w:rsidR="00A629BF" w:rsidRPr="00993C92">
        <w:rPr>
          <w:color w:val="000000" w:themeColor="text1"/>
        </w:rPr>
        <w:t xml:space="preserve"> We also verified that the predictive value of the antibody responses is not driven by age (</w:t>
      </w:r>
      <w:r w:rsidR="00704B26" w:rsidRPr="00993C92">
        <w:rPr>
          <w:color w:val="000000" w:themeColor="text1"/>
        </w:rPr>
        <w:t xml:space="preserve">Figure S </w:t>
      </w:r>
      <w:r w:rsidR="00704B26" w:rsidRPr="00993C92">
        <w:rPr>
          <w:noProof/>
          <w:color w:val="000000" w:themeColor="text1"/>
        </w:rPr>
        <w:t>6</w:t>
      </w:r>
      <w:r w:rsidR="00A629BF" w:rsidRPr="00993C92">
        <w:rPr>
          <w:color w:val="000000" w:themeColor="text1"/>
        </w:rPr>
        <w:t>a).</w:t>
      </w:r>
    </w:p>
    <w:p w14:paraId="23CDDF11" w14:textId="15940A1C" w:rsidR="00F8373C" w:rsidRDefault="002B7628" w:rsidP="00F85B0B">
      <w:pPr>
        <w:spacing w:after="60" w:line="240" w:lineRule="auto"/>
        <w:jc w:val="both"/>
        <w:rPr>
          <w:color w:val="000000" w:themeColor="text1"/>
        </w:rPr>
      </w:pPr>
      <w:r w:rsidRPr="00993C92">
        <w:rPr>
          <w:b/>
          <w:bCs/>
          <w:color w:val="000000" w:themeColor="text1"/>
        </w:rPr>
        <w:t>g-i,</w:t>
      </w:r>
      <w:r w:rsidR="00F43DCA" w:rsidRPr="00993C92">
        <w:rPr>
          <w:color w:val="000000" w:themeColor="text1"/>
        </w:rPr>
        <w:t xml:space="preserve"> </w:t>
      </w:r>
      <w:r w:rsidR="00A80877" w:rsidRPr="00993C92">
        <w:rPr>
          <w:color w:val="000000" w:themeColor="text1"/>
        </w:rPr>
        <w:t xml:space="preserve">Testing for associations of </w:t>
      </w:r>
      <w:r w:rsidR="00F43DCA" w:rsidRPr="00993C92">
        <w:rPr>
          <w:color w:val="000000" w:themeColor="text1"/>
        </w:rPr>
        <w:t>consumption of dietary intake of egg products with antibody responses against e</w:t>
      </w:r>
      <w:r w:rsidR="00C217A6" w:rsidRPr="00993C92">
        <w:rPr>
          <w:color w:val="000000" w:themeColor="text1"/>
        </w:rPr>
        <w:t>gg</w:t>
      </w:r>
      <w:r w:rsidR="00F43DCA" w:rsidRPr="00993C92">
        <w:rPr>
          <w:color w:val="000000" w:themeColor="text1"/>
        </w:rPr>
        <w:t xml:space="preserve"> proteins </w:t>
      </w:r>
      <w:r w:rsidR="00E26387" w:rsidRPr="00993C92">
        <w:rPr>
          <w:color w:val="000000" w:themeColor="text1"/>
        </w:rPr>
        <w:t xml:space="preserve">(g) </w:t>
      </w:r>
      <w:r w:rsidR="00F43DCA" w:rsidRPr="00993C92">
        <w:rPr>
          <w:color w:val="000000" w:themeColor="text1"/>
        </w:rPr>
        <w:t>and</w:t>
      </w:r>
      <w:r w:rsidR="00A80877" w:rsidRPr="00993C92">
        <w:rPr>
          <w:color w:val="000000" w:themeColor="text1"/>
        </w:rPr>
        <w:t xml:space="preserve"> prediction of </w:t>
      </w:r>
      <w:r w:rsidR="00FD1493" w:rsidRPr="00993C92">
        <w:rPr>
          <w:color w:val="000000" w:themeColor="text1"/>
        </w:rPr>
        <w:t>dietary intake</w:t>
      </w:r>
      <w:r w:rsidR="00C217A6" w:rsidRPr="00993C92">
        <w:rPr>
          <w:color w:val="000000" w:themeColor="text1"/>
        </w:rPr>
        <w:t xml:space="preserve"> </w:t>
      </w:r>
      <w:r w:rsidR="00FD1493" w:rsidRPr="00993C92">
        <w:rPr>
          <w:color w:val="000000" w:themeColor="text1"/>
        </w:rPr>
        <w:t xml:space="preserve">from </w:t>
      </w:r>
      <w:r w:rsidR="00A80877" w:rsidRPr="00993C92">
        <w:rPr>
          <w:color w:val="000000" w:themeColor="text1"/>
        </w:rPr>
        <w:t xml:space="preserve">these </w:t>
      </w:r>
      <w:r w:rsidR="00FD1493" w:rsidRPr="00993C92">
        <w:rPr>
          <w:color w:val="000000" w:themeColor="text1"/>
        </w:rPr>
        <w:t>antibody repertoires</w:t>
      </w:r>
      <w:r w:rsidR="008E3A54" w:rsidRPr="00993C92">
        <w:rPr>
          <w:color w:val="000000" w:themeColor="text1"/>
        </w:rPr>
        <w:t xml:space="preserve"> (h). </w:t>
      </w:r>
      <w:r w:rsidR="001F125E" w:rsidRPr="00993C92">
        <w:rPr>
          <w:color w:val="000000" w:themeColor="text1"/>
        </w:rPr>
        <w:t xml:space="preserve">We identified individuals consuming egg recipes from food frequency questionnaires filled by participants </w:t>
      </w:r>
      <w:r w:rsidR="00282B43" w:rsidRPr="00993C92">
        <w:rPr>
          <w:noProof/>
          <w:color w:val="000000" w:themeColor="text1"/>
        </w:rPr>
        <w:t>(Bar et al., 2020)</w:t>
      </w:r>
      <w:r w:rsidR="001F125E" w:rsidRPr="00993C92">
        <w:rPr>
          <w:color w:val="000000" w:themeColor="text1"/>
        </w:rPr>
        <w:t xml:space="preserve">, defining consuming as a </w:t>
      </w:r>
      <w:r w:rsidR="00564C49" w:rsidRPr="00993C92">
        <w:rPr>
          <w:color w:val="000000" w:themeColor="text1"/>
        </w:rPr>
        <w:t xml:space="preserve">frequency of more than once </w:t>
      </w:r>
      <w:r w:rsidR="001F125E" w:rsidRPr="00993C92">
        <w:rPr>
          <w:color w:val="000000" w:themeColor="text1"/>
        </w:rPr>
        <w:t xml:space="preserve">a month. </w:t>
      </w:r>
      <w:r w:rsidR="00BA6C68" w:rsidRPr="00993C92">
        <w:rPr>
          <w:color w:val="000000" w:themeColor="text1"/>
        </w:rPr>
        <w:t>Each dot</w:t>
      </w:r>
      <w:r w:rsidR="008E3A54" w:rsidRPr="00993C92">
        <w:rPr>
          <w:color w:val="000000" w:themeColor="text1"/>
        </w:rPr>
        <w:t xml:space="preserve"> in panel a</w:t>
      </w:r>
      <w:r w:rsidR="00BA6C68" w:rsidRPr="00993C92">
        <w:rPr>
          <w:color w:val="000000" w:themeColor="text1"/>
        </w:rPr>
        <w:t xml:space="preserve"> represents a peptide, with its </w:t>
      </w:r>
      <w:r w:rsidR="000C78C3" w:rsidRPr="00993C92">
        <w:rPr>
          <w:color w:val="000000" w:themeColor="text1"/>
        </w:rPr>
        <w:t>prevalence</w:t>
      </w:r>
      <w:r w:rsidR="00BA6C68" w:rsidRPr="00993C92">
        <w:rPr>
          <w:color w:val="000000" w:themeColor="text1"/>
        </w:rPr>
        <w:t xml:space="preserve"> in the respective cohort plotted on the x and y axes.</w:t>
      </w:r>
      <w:r w:rsidR="008E3A54" w:rsidRPr="00993C92">
        <w:rPr>
          <w:color w:val="000000" w:themeColor="text1"/>
        </w:rPr>
        <w:t xml:space="preserve"> Machine learning based predictions were performed with </w:t>
      </w:r>
      <w:r w:rsidR="00562456" w:rsidRPr="00993C92">
        <w:rPr>
          <w:color w:val="000000" w:themeColor="text1"/>
        </w:rPr>
        <w:t>Gradient Boosting trees</w:t>
      </w:r>
      <w:r w:rsidR="008E3A54" w:rsidRPr="00993C92">
        <w:rPr>
          <w:color w:val="000000" w:themeColor="text1"/>
        </w:rPr>
        <w:t xml:space="preserve"> with 10-fold cross-validation (h) and contributing features, representing antibody responses, were evaluated by SHAP analysis (</w:t>
      </w:r>
      <w:r w:rsidR="00C217A6" w:rsidRPr="00993C92">
        <w:rPr>
          <w:color w:val="000000" w:themeColor="text1"/>
        </w:rPr>
        <w:t xml:space="preserve">i, </w:t>
      </w:r>
      <w:r w:rsidR="008E3A54" w:rsidRPr="00993C92">
        <w:rPr>
          <w:color w:val="000000" w:themeColor="text1"/>
        </w:rPr>
        <w:t>as outlined for panel a).</w:t>
      </w:r>
      <w:r w:rsidR="001F125E" w:rsidRPr="00993C92">
        <w:rPr>
          <w:color w:val="000000" w:themeColor="text1"/>
        </w:rPr>
        <w:t xml:space="preserve"> For the predictions, we also included gender and age as features to test for any contributing effects (</w:t>
      </w:r>
      <w:r w:rsidR="001F125E" w:rsidRPr="00993C92">
        <w:rPr>
          <w:i/>
          <w:color w:val="000000" w:themeColor="text1"/>
        </w:rPr>
        <w:t>e.g.</w:t>
      </w:r>
      <w:r w:rsidR="001F125E" w:rsidRPr="00993C92">
        <w:rPr>
          <w:color w:val="000000" w:themeColor="text1"/>
        </w:rPr>
        <w:t xml:space="preserve"> if older individuals would for example consume more egg</w:t>
      </w:r>
      <w:r w:rsidR="00564C49" w:rsidRPr="00993C92">
        <w:rPr>
          <w:color w:val="000000" w:themeColor="text1"/>
        </w:rPr>
        <w:t xml:space="preserve"> products</w:t>
      </w:r>
      <w:r w:rsidR="001F125E" w:rsidRPr="00993C92">
        <w:rPr>
          <w:color w:val="000000" w:themeColor="text1"/>
        </w:rPr>
        <w:t>).</w:t>
      </w:r>
    </w:p>
    <w:p w14:paraId="307030E7" w14:textId="77777777" w:rsidR="00F8373C" w:rsidRDefault="00F8373C">
      <w:pPr>
        <w:spacing w:line="259" w:lineRule="auto"/>
        <w:rPr>
          <w:color w:val="000000" w:themeColor="text1"/>
        </w:rPr>
      </w:pPr>
      <w:r>
        <w:rPr>
          <w:color w:val="000000" w:themeColor="text1"/>
        </w:rPr>
        <w:br w:type="page"/>
      </w:r>
    </w:p>
    <w:p w14:paraId="18765C4E" w14:textId="77777777" w:rsidR="00F8373C" w:rsidRDefault="00F8373C" w:rsidP="00F8373C">
      <w:pPr>
        <w:pStyle w:val="Heading1"/>
      </w:pPr>
      <w:r>
        <w:t>Supporting tables captions</w:t>
      </w:r>
    </w:p>
    <w:p w14:paraId="0FBFE9AA" w14:textId="77777777" w:rsidR="00F8373C" w:rsidRDefault="00F8373C" w:rsidP="00F8373C">
      <w:pPr>
        <w:jc w:val="both"/>
        <w:rPr>
          <w:color w:val="000000" w:themeColor="text1"/>
        </w:rPr>
      </w:pPr>
    </w:p>
    <w:p w14:paraId="5073E39E" w14:textId="77777777" w:rsidR="00F8373C" w:rsidRPr="00993C92" w:rsidRDefault="00F8373C" w:rsidP="00F8373C">
      <w:pPr>
        <w:pStyle w:val="Heading2"/>
        <w:spacing w:before="0" w:after="120"/>
        <w:rPr>
          <w:color w:val="000000" w:themeColor="text1"/>
        </w:rPr>
      </w:pPr>
      <w:r w:rsidRPr="00993C92">
        <w:rPr>
          <w:color w:val="000000" w:themeColor="text1"/>
        </w:rPr>
        <w:t>Table S 1</w:t>
      </w:r>
    </w:p>
    <w:p w14:paraId="08EFFB78" w14:textId="3200B634" w:rsidR="00F8373C" w:rsidRPr="00993C92" w:rsidRDefault="00F8373C" w:rsidP="00F8373C">
      <w:pPr>
        <w:pStyle w:val="Caption"/>
        <w:spacing w:after="120" w:line="259" w:lineRule="auto"/>
        <w:rPr>
          <w:i w:val="0"/>
          <w:iCs w:val="0"/>
          <w:color w:val="000000" w:themeColor="text1"/>
          <w:sz w:val="22"/>
          <w:szCs w:val="22"/>
        </w:rPr>
      </w:pPr>
      <w:r w:rsidRPr="00993C92">
        <w:rPr>
          <w:b/>
          <w:bCs/>
          <w:i w:val="0"/>
          <w:iCs w:val="0"/>
          <w:color w:val="000000" w:themeColor="text1"/>
          <w:sz w:val="22"/>
          <w:szCs w:val="22"/>
        </w:rPr>
        <w:t>Table S 1: Supporting .xlsx file with most frequently antibody bound peptides in &gt;5% of the cohort. Relating to Fig. 1.</w:t>
      </w:r>
      <w:r w:rsidRPr="00993C92">
        <w:rPr>
          <w:i w:val="0"/>
          <w:iCs w:val="0"/>
          <w:color w:val="000000" w:themeColor="text1"/>
          <w:sz w:val="22"/>
          <w:szCs w:val="22"/>
        </w:rPr>
        <w:t>Lists of bound peptides are provided separately for proteins from allergen databases (top) and bacterial and viral proteins from the IEDB (bottom).</w:t>
      </w:r>
    </w:p>
    <w:p w14:paraId="798EE09D" w14:textId="77777777" w:rsidR="00F8373C" w:rsidRPr="00993C92" w:rsidRDefault="00F8373C" w:rsidP="00F8373C"/>
    <w:p w14:paraId="794BE5D0" w14:textId="77777777" w:rsidR="00F8373C" w:rsidRPr="00993C92" w:rsidRDefault="00F8373C" w:rsidP="00F8373C"/>
    <w:p w14:paraId="6FBC4349" w14:textId="77777777" w:rsidR="00F8373C" w:rsidRPr="00993C92" w:rsidRDefault="00F8373C" w:rsidP="00F8373C">
      <w:pPr>
        <w:pStyle w:val="Heading2"/>
        <w:spacing w:before="0" w:after="120"/>
        <w:rPr>
          <w:color w:val="000000" w:themeColor="text1"/>
        </w:rPr>
      </w:pPr>
      <w:r w:rsidRPr="00993C92">
        <w:rPr>
          <w:color w:val="000000" w:themeColor="text1"/>
        </w:rPr>
        <w:t>Table S 2</w:t>
      </w:r>
    </w:p>
    <w:p w14:paraId="246E48EC" w14:textId="1055AC15" w:rsidR="00F8373C" w:rsidRPr="00993C92" w:rsidRDefault="00F8373C" w:rsidP="00F8373C">
      <w:pPr>
        <w:spacing w:after="120" w:line="259" w:lineRule="auto"/>
        <w:jc w:val="both"/>
        <w:rPr>
          <w:color w:val="000000" w:themeColor="text1"/>
        </w:rPr>
      </w:pPr>
      <w:r w:rsidRPr="00993C92">
        <w:rPr>
          <w:b/>
          <w:bCs/>
          <w:color w:val="000000" w:themeColor="text1"/>
        </w:rPr>
        <w:t xml:space="preserve">Table S </w:t>
      </w:r>
      <w:r w:rsidRPr="00993C92">
        <w:rPr>
          <w:b/>
          <w:bCs/>
          <w:noProof/>
          <w:color w:val="000000" w:themeColor="text1"/>
        </w:rPr>
        <w:t>2</w:t>
      </w:r>
      <w:r w:rsidRPr="00993C92">
        <w:rPr>
          <w:b/>
          <w:bCs/>
          <w:color w:val="000000" w:themeColor="text1"/>
          <w:u w:val="single"/>
        </w:rPr>
        <w:t>:</w:t>
      </w:r>
      <w:r w:rsidRPr="00993C92">
        <w:rPr>
          <w:b/>
          <w:bCs/>
          <w:color w:val="000000" w:themeColor="text1"/>
        </w:rPr>
        <w:t xml:space="preserve"> Supporting .xlsx file providing details on peptides constituting the clusters from allergen databases (Fig. 2c-i and Figure S </w:t>
      </w:r>
      <w:r w:rsidRPr="00993C92">
        <w:rPr>
          <w:b/>
          <w:bCs/>
          <w:noProof/>
          <w:color w:val="000000" w:themeColor="text1"/>
        </w:rPr>
        <w:t>3</w:t>
      </w:r>
      <w:r w:rsidRPr="00993C92">
        <w:rPr>
          <w:b/>
          <w:bCs/>
          <w:color w:val="000000" w:themeColor="text1"/>
        </w:rPr>
        <w:t>; here sheet ‘Allergen databases clusters’), the IEDB (</w:t>
      </w:r>
      <w:r w:rsidRPr="00993C92">
        <w:rPr>
          <w:color w:val="000000" w:themeColor="text1"/>
        </w:rPr>
        <w:t xml:space="preserve">Figure S </w:t>
      </w:r>
      <w:r w:rsidRPr="00993C92">
        <w:rPr>
          <w:noProof/>
          <w:color w:val="000000" w:themeColor="text1"/>
        </w:rPr>
        <w:t>4</w:t>
      </w:r>
      <w:r w:rsidRPr="00993C92">
        <w:rPr>
          <w:b/>
          <w:bCs/>
          <w:color w:val="000000" w:themeColor="text1"/>
        </w:rPr>
        <w:t>, here sheet ‘IEDB clusters’), and the combination of allergen databases and the IEDB (</w:t>
      </w:r>
      <w:r w:rsidRPr="00993C92">
        <w:rPr>
          <w:color w:val="000000" w:themeColor="text1"/>
          <w:u w:val="single"/>
        </w:rPr>
        <w:t xml:space="preserve">Fig. </w:t>
      </w:r>
      <w:r w:rsidRPr="00993C92">
        <w:rPr>
          <w:noProof/>
          <w:color w:val="000000" w:themeColor="text1"/>
          <w:u w:val="single"/>
        </w:rPr>
        <w:t>3</w:t>
      </w:r>
      <w:r w:rsidRPr="00993C92">
        <w:rPr>
          <w:b/>
          <w:bCs/>
          <w:color w:val="000000" w:themeColor="text1"/>
        </w:rPr>
        <w:t xml:space="preserve">, here sheet ‘Allergens DBs + IEDB clusters’). Relating to Fig. 2. </w:t>
      </w:r>
      <w:r w:rsidRPr="00993C92">
        <w:rPr>
          <w:color w:val="000000" w:themeColor="text1"/>
        </w:rPr>
        <w:t xml:space="preserve">For the combination of allergen databases and the IEDB, different clustering thresholds were applied and the respective clusters are listed in the sheets “AllerDBs+IEDBclusters(extra0.6)” and “AllerDBs+IEDBclusters(extra0.5)”. In addition, list of all the peptides clustered in Fig. 2c (sheet: all_allergen_pep_order) and Figure S </w:t>
      </w:r>
      <w:r w:rsidRPr="00993C92">
        <w:rPr>
          <w:noProof/>
          <w:color w:val="000000" w:themeColor="text1"/>
        </w:rPr>
        <w:t>4</w:t>
      </w:r>
      <w:r w:rsidRPr="00993C92">
        <w:rPr>
          <w:color w:val="000000" w:themeColor="text1"/>
        </w:rPr>
        <w:t>a (sheet: all_IEDB_pep_order) are provided (i.e. all the peptides on the X/Y axes of the distance matrices – “all_allergen_pep_order” and ).</w:t>
      </w:r>
    </w:p>
    <w:p w14:paraId="35F053E3" w14:textId="77777777" w:rsidR="00F8373C" w:rsidRPr="00993C92" w:rsidRDefault="00F8373C" w:rsidP="00F8373C">
      <w:pPr>
        <w:jc w:val="both"/>
        <w:rPr>
          <w:color w:val="000000" w:themeColor="text1"/>
        </w:rPr>
      </w:pPr>
    </w:p>
    <w:p w14:paraId="5FCEF03F" w14:textId="77777777" w:rsidR="00F8373C" w:rsidRPr="00993C92" w:rsidRDefault="00F8373C" w:rsidP="00F8373C">
      <w:pPr>
        <w:jc w:val="both"/>
        <w:rPr>
          <w:color w:val="000000" w:themeColor="text1"/>
        </w:rPr>
      </w:pPr>
    </w:p>
    <w:p w14:paraId="20E3975A" w14:textId="77777777" w:rsidR="00F8373C" w:rsidRPr="00993C92" w:rsidRDefault="00F8373C" w:rsidP="00F8373C">
      <w:pPr>
        <w:pStyle w:val="Heading2"/>
        <w:spacing w:before="0" w:after="120"/>
        <w:rPr>
          <w:color w:val="000000" w:themeColor="text1"/>
        </w:rPr>
      </w:pPr>
      <w:r w:rsidRPr="00993C92">
        <w:rPr>
          <w:color w:val="000000" w:themeColor="text1"/>
        </w:rPr>
        <w:t>Table S 3</w:t>
      </w:r>
    </w:p>
    <w:p w14:paraId="563211D7" w14:textId="3D3353DB" w:rsidR="00F8373C" w:rsidRPr="00993C92" w:rsidRDefault="00F8373C" w:rsidP="00F8373C">
      <w:pPr>
        <w:spacing w:after="120" w:line="259" w:lineRule="auto"/>
      </w:pPr>
      <w:r w:rsidRPr="00993C92">
        <w:rPr>
          <w:b/>
          <w:bCs/>
          <w:color w:val="000000" w:themeColor="text1"/>
        </w:rPr>
        <w:t xml:space="preserve">Table S </w:t>
      </w:r>
      <w:r w:rsidRPr="00993C92">
        <w:rPr>
          <w:b/>
          <w:bCs/>
          <w:noProof/>
          <w:color w:val="000000" w:themeColor="text1"/>
        </w:rPr>
        <w:t>3</w:t>
      </w:r>
      <w:r w:rsidRPr="00993C92">
        <w:rPr>
          <w:b/>
          <w:bCs/>
          <w:color w:val="000000" w:themeColor="text1"/>
          <w:u w:val="single"/>
        </w:rPr>
        <w:t>:</w:t>
      </w:r>
      <w:r w:rsidRPr="00993C92">
        <w:rPr>
          <w:b/>
          <w:bCs/>
          <w:color w:val="000000" w:themeColor="text1"/>
        </w:rPr>
        <w:t xml:space="preserve"> Supporting xlsx file providing detailed lists on the respective peptides bound by protein A vs. G beads and in IgA vs. IgG capture experiments shown in Fig. 3. Realted to Fig. 3.</w:t>
      </w:r>
      <w:r w:rsidRPr="00993C92">
        <w:rPr>
          <w:color w:val="000000" w:themeColor="text1"/>
        </w:rPr>
        <w:t xml:space="preserve"> See STAR methods for details.</w:t>
      </w:r>
    </w:p>
    <w:p w14:paraId="59E33D25" w14:textId="77777777" w:rsidR="00F8373C" w:rsidRPr="00993C92" w:rsidRDefault="00F8373C" w:rsidP="00F8373C"/>
    <w:p w14:paraId="7DAD9EB0" w14:textId="77777777" w:rsidR="00F8373C" w:rsidRPr="00993C92" w:rsidRDefault="00F8373C" w:rsidP="00F8373C"/>
    <w:p w14:paraId="08ADB582" w14:textId="77777777" w:rsidR="00F8373C" w:rsidRPr="00993C92" w:rsidRDefault="00F8373C" w:rsidP="00F8373C">
      <w:pPr>
        <w:pStyle w:val="Heading2"/>
        <w:spacing w:before="0" w:after="120"/>
        <w:rPr>
          <w:color w:val="000000" w:themeColor="text1"/>
        </w:rPr>
      </w:pPr>
      <w:r w:rsidRPr="00993C92">
        <w:rPr>
          <w:color w:val="000000" w:themeColor="text1"/>
        </w:rPr>
        <w:t>Table S 4</w:t>
      </w:r>
    </w:p>
    <w:p w14:paraId="0B19018A" w14:textId="2ED4E5FA" w:rsidR="00F8373C" w:rsidRPr="00CF666C" w:rsidRDefault="00F8373C" w:rsidP="00F8373C">
      <w:pPr>
        <w:spacing w:after="120" w:line="259" w:lineRule="auto"/>
        <w:jc w:val="both"/>
        <w:rPr>
          <w:color w:val="000000" w:themeColor="text1"/>
        </w:rPr>
      </w:pPr>
      <w:r w:rsidRPr="00993C92">
        <w:rPr>
          <w:b/>
          <w:bCs/>
          <w:color w:val="000000" w:themeColor="text1"/>
        </w:rPr>
        <w:t xml:space="preserve">Table S </w:t>
      </w:r>
      <w:r w:rsidRPr="00993C92">
        <w:rPr>
          <w:b/>
          <w:bCs/>
          <w:noProof/>
          <w:color w:val="000000" w:themeColor="text1"/>
        </w:rPr>
        <w:t>4</w:t>
      </w:r>
      <w:r w:rsidRPr="00993C92">
        <w:rPr>
          <w:b/>
          <w:bCs/>
          <w:color w:val="000000" w:themeColor="text1"/>
          <w:u w:val="single"/>
        </w:rPr>
        <w:t>:</w:t>
      </w:r>
      <w:r w:rsidRPr="00993C92">
        <w:rPr>
          <w:b/>
          <w:bCs/>
          <w:color w:val="000000" w:themeColor="text1"/>
        </w:rPr>
        <w:t xml:space="preserve"> Supporting .xlsx file listing peptides significantly associated with age, gender, or egg consumption (</w:t>
      </w:r>
      <w:r w:rsidRPr="00993C92">
        <w:rPr>
          <w:b/>
          <w:bCs/>
          <w:color w:val="000000" w:themeColor="text1"/>
          <w:u w:val="single"/>
        </w:rPr>
        <w:t>Fig. 6</w:t>
      </w:r>
      <w:r w:rsidRPr="00993C92">
        <w:rPr>
          <w:b/>
          <w:bCs/>
          <w:color w:val="000000" w:themeColor="text1"/>
        </w:rPr>
        <w:t xml:space="preserve">a,d,e) as well as peptides identified by SHAP analysis to drive predictions of age, gender, and dietary intake of egg products (see </w:t>
      </w:r>
      <w:r w:rsidRPr="00993C92">
        <w:rPr>
          <w:b/>
          <w:bCs/>
          <w:color w:val="000000" w:themeColor="text1"/>
          <w:u w:val="single"/>
        </w:rPr>
        <w:t>Fig. 6</w:t>
      </w:r>
      <w:r w:rsidRPr="00993C92">
        <w:rPr>
          <w:b/>
          <w:bCs/>
          <w:color w:val="000000" w:themeColor="text1"/>
        </w:rPr>
        <w:t xml:space="preserve">b,c;e,f;g,h) as well as peptides associated with dietary intake of eggs. Relating to Fig. 6. </w:t>
      </w:r>
      <w:r w:rsidRPr="00993C92">
        <w:rPr>
          <w:color w:val="000000" w:themeColor="text1"/>
        </w:rPr>
        <w:t xml:space="preserve">Results of peptides associated with intake of egg (sheet name ‘Egg FFQ Abs’) is corrected for 4690 tests of food frequencies s vs. peptides related to those foods (Fisher exact test </w:t>
      </w:r>
      <w:r w:rsidRPr="00993C92">
        <w:rPr>
          <w:rFonts w:eastAsia="Times New Roman"/>
          <w:color w:val="000000" w:themeColor="text1"/>
        </w:rPr>
        <w:t>with FDR corrected p-value below 0.05 [same test also applied for testing age/gender associations</w:t>
      </w:r>
      <w:r w:rsidRPr="00993C92">
        <w:rPr>
          <w:color w:val="000000" w:themeColor="text1"/>
        </w:rPr>
        <w:t xml:space="preserve">). Also a list antibody bound peptides significantly associated with the metabolite 3-methoxytyrosine (Figure S </w:t>
      </w:r>
      <w:r w:rsidRPr="00993C92">
        <w:rPr>
          <w:noProof/>
          <w:color w:val="000000" w:themeColor="text1"/>
        </w:rPr>
        <w:t>6</w:t>
      </w:r>
      <w:r w:rsidRPr="00993C92">
        <w:rPr>
          <w:color w:val="000000" w:themeColor="text1"/>
        </w:rPr>
        <w:t>d) is provided.</w:t>
      </w:r>
    </w:p>
    <w:p w14:paraId="66E09EC6" w14:textId="2BF350D1" w:rsidR="00DB3DD1" w:rsidRPr="00993C92" w:rsidRDefault="00DB3DD1" w:rsidP="00F85B0B">
      <w:pPr>
        <w:spacing w:after="60" w:line="240" w:lineRule="auto"/>
        <w:jc w:val="both"/>
        <w:rPr>
          <w:color w:val="000000" w:themeColor="text1"/>
        </w:rPr>
      </w:pPr>
      <w:r w:rsidRPr="00993C92">
        <w:rPr>
          <w:color w:val="000000" w:themeColor="text1"/>
        </w:rPr>
        <w:br w:type="page"/>
      </w:r>
    </w:p>
    <w:p w14:paraId="5F24750C" w14:textId="3C5190AA" w:rsidR="00DC7EED" w:rsidRPr="00993C92" w:rsidRDefault="00DB3DD1" w:rsidP="00665C3E">
      <w:pPr>
        <w:pStyle w:val="Heading1"/>
        <w:spacing w:before="0" w:after="120" w:line="257" w:lineRule="auto"/>
        <w:rPr>
          <w:color w:val="000000" w:themeColor="text1"/>
        </w:rPr>
      </w:pPr>
      <w:r w:rsidRPr="00993C92">
        <w:rPr>
          <w:color w:val="000000" w:themeColor="text1"/>
        </w:rPr>
        <w:t>References</w:t>
      </w:r>
    </w:p>
    <w:p w14:paraId="1507181D" w14:textId="1C5B167D"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rPr>
        <w:t>Abdel-Gadir, A., Stephen-Victor, E., Gerber, G.K., Noval Rivas, M., Wang, S., Harb, H., Wang, L., Li, N., Crestani, E., Spielman, S., et al. (2019). Microbiota therapy acts via a regulatory T cell MyD88/RORγt pathway to suppress food allergy. Nat. Med.</w:t>
      </w:r>
    </w:p>
    <w:p w14:paraId="4C34CA28"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rPr>
        <w:t xml:space="preserve">Aguilera-Lizarraga, J., Florens, M. V., Viola, M.F., Jain, P., Decraecker, L., Appeltans, I., Cuende-Estevez, M., Fabre, N., Van Beek, K., Perna, E., et al. (2021). Local immune response to food antigens drives meal-induced abdominal pain. Nature </w:t>
      </w:r>
      <w:r w:rsidRPr="00993C92">
        <w:rPr>
          <w:rFonts w:ascii="Calibri" w:hAnsi="Calibri" w:cs="Calibri"/>
          <w:i/>
          <w:iCs/>
          <w:noProof/>
          <w:szCs w:val="24"/>
        </w:rPr>
        <w:t>590</w:t>
      </w:r>
      <w:r w:rsidRPr="00993C92">
        <w:rPr>
          <w:rFonts w:ascii="Calibri" w:hAnsi="Calibri" w:cs="Calibri"/>
          <w:noProof/>
          <w:szCs w:val="24"/>
        </w:rPr>
        <w:t>, 151–156.</w:t>
      </w:r>
    </w:p>
    <w:p w14:paraId="203C2E29"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rPr>
        <w:t xml:space="preserve">Alexander, M., and Turnbaugh, P.J. (2020). Deconstructing Mechanisms of Diet-Microbiome-Immune Interactions. Immunity </w:t>
      </w:r>
      <w:r w:rsidRPr="00993C92">
        <w:rPr>
          <w:rFonts w:ascii="Calibri" w:hAnsi="Calibri" w:cs="Calibri"/>
          <w:i/>
          <w:iCs/>
          <w:noProof/>
          <w:szCs w:val="24"/>
        </w:rPr>
        <w:t>53</w:t>
      </w:r>
      <w:r w:rsidRPr="00993C92">
        <w:rPr>
          <w:rFonts w:ascii="Calibri" w:hAnsi="Calibri" w:cs="Calibri"/>
          <w:noProof/>
          <w:szCs w:val="24"/>
        </w:rPr>
        <w:t>, 264–276.</w:t>
      </w:r>
    </w:p>
    <w:p w14:paraId="3FC39544"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rPr>
        <w:t xml:space="preserve">Bailey, T.L., and Elkan, C. (1994). Fitting a mixture model by expectation maximization to discover motifs in biopolymers. Proceedings. Int. Conf. Intell. Syst. Mol. Biol. </w:t>
      </w:r>
      <w:r w:rsidRPr="00993C92">
        <w:rPr>
          <w:rFonts w:ascii="Calibri" w:hAnsi="Calibri" w:cs="Calibri"/>
          <w:i/>
          <w:iCs/>
          <w:noProof/>
          <w:szCs w:val="24"/>
        </w:rPr>
        <w:t>2</w:t>
      </w:r>
      <w:r w:rsidRPr="00993C92">
        <w:rPr>
          <w:rFonts w:ascii="Calibri" w:hAnsi="Calibri" w:cs="Calibri"/>
          <w:noProof/>
          <w:szCs w:val="24"/>
        </w:rPr>
        <w:t>, 28–36.</w:t>
      </w:r>
    </w:p>
    <w:p w14:paraId="4D421849"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rPr>
        <w:t xml:space="preserve">Bailey, T.L., Williams, N., Misleh, C., and Li, W.W. (2006). MEME: discovering and analyzing DNA and protein sequence motifs. Nucleic Acids Res. </w:t>
      </w:r>
      <w:r w:rsidRPr="00993C92">
        <w:rPr>
          <w:rFonts w:ascii="Calibri" w:hAnsi="Calibri" w:cs="Calibri"/>
          <w:i/>
          <w:iCs/>
          <w:noProof/>
          <w:szCs w:val="24"/>
        </w:rPr>
        <w:t>34</w:t>
      </w:r>
      <w:r w:rsidRPr="00993C92">
        <w:rPr>
          <w:rFonts w:ascii="Calibri" w:hAnsi="Calibri" w:cs="Calibri"/>
          <w:noProof/>
          <w:szCs w:val="24"/>
        </w:rPr>
        <w:t>, W369-73.</w:t>
      </w:r>
    </w:p>
    <w:p w14:paraId="7BAA8667"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lang w:val="de-AT"/>
        </w:rPr>
      </w:pPr>
      <w:r w:rsidRPr="00993C92">
        <w:rPr>
          <w:rFonts w:ascii="Calibri" w:hAnsi="Calibri" w:cs="Calibri"/>
          <w:noProof/>
          <w:szCs w:val="24"/>
        </w:rPr>
        <w:t xml:space="preserve">Bar, N., Korem, T., Weissbrod, O., Zeevi, D., Rothschild, D., Leviatan, S., Kosower, N., Lotan-Pompan, M., Weinberger, A., Le Roy, C.I., et al. (2020). A reference map of potential determinants for the human serum metabolome. </w:t>
      </w:r>
      <w:r w:rsidRPr="00993C92">
        <w:rPr>
          <w:rFonts w:ascii="Calibri" w:hAnsi="Calibri" w:cs="Calibri"/>
          <w:noProof/>
          <w:szCs w:val="24"/>
          <w:lang w:val="de-AT"/>
        </w:rPr>
        <w:t xml:space="preserve">Nature </w:t>
      </w:r>
      <w:r w:rsidRPr="00993C92">
        <w:rPr>
          <w:rFonts w:ascii="Calibri" w:hAnsi="Calibri" w:cs="Calibri"/>
          <w:i/>
          <w:iCs/>
          <w:noProof/>
          <w:szCs w:val="24"/>
          <w:lang w:val="de-AT"/>
        </w:rPr>
        <w:t>588</w:t>
      </w:r>
      <w:r w:rsidRPr="00993C92">
        <w:rPr>
          <w:rFonts w:ascii="Calibri" w:hAnsi="Calibri" w:cs="Calibri"/>
          <w:noProof/>
          <w:szCs w:val="24"/>
          <w:lang w:val="de-AT"/>
        </w:rPr>
        <w:t>, 135–140.</w:t>
      </w:r>
    </w:p>
    <w:p w14:paraId="57F30E1C"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lang w:val="de-AT"/>
        </w:rPr>
        <w:t xml:space="preserve">Berglund, L., Andrade, J., Odeberg, J., and Uhlén, M. (2008). </w:t>
      </w:r>
      <w:r w:rsidRPr="00993C92">
        <w:rPr>
          <w:rFonts w:ascii="Calibri" w:hAnsi="Calibri" w:cs="Calibri"/>
          <w:noProof/>
          <w:szCs w:val="24"/>
        </w:rPr>
        <w:t xml:space="preserve">The epitope space of the human proteome. Protein Sci. </w:t>
      </w:r>
      <w:r w:rsidRPr="00993C92">
        <w:rPr>
          <w:rFonts w:ascii="Calibri" w:hAnsi="Calibri" w:cs="Calibri"/>
          <w:i/>
          <w:iCs/>
          <w:noProof/>
          <w:szCs w:val="24"/>
        </w:rPr>
        <w:t>17</w:t>
      </w:r>
      <w:r w:rsidRPr="00993C92">
        <w:rPr>
          <w:rFonts w:ascii="Calibri" w:hAnsi="Calibri" w:cs="Calibri"/>
          <w:noProof/>
          <w:szCs w:val="24"/>
        </w:rPr>
        <w:t>, 606–613.</w:t>
      </w:r>
    </w:p>
    <w:p w14:paraId="22712935"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rPr>
        <w:t xml:space="preserve">Bunker, J.J., and Bendelac, A. (2018). IgA Responses to Microbiota. Immunity </w:t>
      </w:r>
      <w:r w:rsidRPr="00993C92">
        <w:rPr>
          <w:rFonts w:ascii="Calibri" w:hAnsi="Calibri" w:cs="Calibri"/>
          <w:i/>
          <w:iCs/>
          <w:noProof/>
          <w:szCs w:val="24"/>
        </w:rPr>
        <w:t>49</w:t>
      </w:r>
      <w:r w:rsidRPr="00993C92">
        <w:rPr>
          <w:rFonts w:ascii="Calibri" w:hAnsi="Calibri" w:cs="Calibri"/>
          <w:noProof/>
          <w:szCs w:val="24"/>
        </w:rPr>
        <w:t>, 211–224.</w:t>
      </w:r>
    </w:p>
    <w:p w14:paraId="6A469258"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rPr>
        <w:t>Campbell, E., Hesser, L.A., and Nagler, C.R. (2020). B cells and the microbiota: a missing connection in food allergy. Mucosal Immunol.</w:t>
      </w:r>
    </w:p>
    <w:p w14:paraId="30692DBC"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rPr>
        <w:t xml:space="preserve">Chen, G., Shrock, E.L., Li, M.Z., Spergel, J.M., Nadeau, K.C., Pongracic, J.A., Umetsu, D.T., Rachid, R., MacGinnitie, A.J., Phipatanakul, W., et al. (2021). High-resolution epitope mapping by AllerScan reveals relationships between IgE and IgG repertoires during peanut oral immunotherapy. Cell Reports Med. </w:t>
      </w:r>
      <w:r w:rsidRPr="00993C92">
        <w:rPr>
          <w:rFonts w:ascii="Calibri" w:hAnsi="Calibri" w:cs="Calibri"/>
          <w:i/>
          <w:iCs/>
          <w:noProof/>
          <w:szCs w:val="24"/>
        </w:rPr>
        <w:t>2</w:t>
      </w:r>
      <w:r w:rsidRPr="00993C92">
        <w:rPr>
          <w:rFonts w:ascii="Calibri" w:hAnsi="Calibri" w:cs="Calibri"/>
          <w:noProof/>
          <w:szCs w:val="24"/>
        </w:rPr>
        <w:t>, 100410.</w:t>
      </w:r>
    </w:p>
    <w:p w14:paraId="4E0C5120"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rPr>
        <w:t>Chen, K., Magri, G., Grasset, E.K., and Cerutti, A. (2020). Rethinking mucosal antibody responses: IgM, IgG and IgD join IgA. Nat. Rev. Immunol.</w:t>
      </w:r>
    </w:p>
    <w:p w14:paraId="49910B92"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rPr>
        <w:t xml:space="preserve">Childs, Calder, and Miles (2019). Diet and Immune Function. Nutrients </w:t>
      </w:r>
      <w:r w:rsidRPr="00993C92">
        <w:rPr>
          <w:rFonts w:ascii="Calibri" w:hAnsi="Calibri" w:cs="Calibri"/>
          <w:i/>
          <w:iCs/>
          <w:noProof/>
          <w:szCs w:val="24"/>
        </w:rPr>
        <w:t>11</w:t>
      </w:r>
      <w:r w:rsidRPr="00993C92">
        <w:rPr>
          <w:rFonts w:ascii="Calibri" w:hAnsi="Calibri" w:cs="Calibri"/>
          <w:noProof/>
          <w:szCs w:val="24"/>
        </w:rPr>
        <w:t>, 1933.</w:t>
      </w:r>
    </w:p>
    <w:p w14:paraId="5C75BCCD"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rPr>
        <w:t xml:space="preserve">Corthésy, B. (2013). Multi-faceted functions of secretory IgA at mucosal surfaces. Front. Immunol. </w:t>
      </w:r>
      <w:r w:rsidRPr="00993C92">
        <w:rPr>
          <w:rFonts w:ascii="Calibri" w:hAnsi="Calibri" w:cs="Calibri"/>
          <w:i/>
          <w:iCs/>
          <w:noProof/>
          <w:szCs w:val="24"/>
        </w:rPr>
        <w:t>4</w:t>
      </w:r>
      <w:r w:rsidRPr="00993C92">
        <w:rPr>
          <w:rFonts w:ascii="Calibri" w:hAnsi="Calibri" w:cs="Calibri"/>
          <w:noProof/>
          <w:szCs w:val="24"/>
        </w:rPr>
        <w:t>, 185.</w:t>
      </w:r>
    </w:p>
    <w:p w14:paraId="2BD8D95E"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rPr>
        <w:t xml:space="preserve">Datema, M.R., Eller, E., Zwinderman, A.H., Poulsen, L.K., Versteeg, S.A., van Ree, R., and Bindslev-Jensen, C. (2019). Ratios of specific IgG4 over IgE antibodies do not improve prediction of peanut allergy nor of its severity compared to specific IgE alone. Clin. Exp. Allergy </w:t>
      </w:r>
      <w:r w:rsidRPr="00993C92">
        <w:rPr>
          <w:rFonts w:ascii="Calibri" w:hAnsi="Calibri" w:cs="Calibri"/>
          <w:i/>
          <w:iCs/>
          <w:noProof/>
          <w:szCs w:val="24"/>
        </w:rPr>
        <w:t>49</w:t>
      </w:r>
      <w:r w:rsidRPr="00993C92">
        <w:rPr>
          <w:rFonts w:ascii="Calibri" w:hAnsi="Calibri" w:cs="Calibri"/>
          <w:noProof/>
          <w:szCs w:val="24"/>
        </w:rPr>
        <w:t>, 216–226.</w:t>
      </w:r>
    </w:p>
    <w:p w14:paraId="3917BD45"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lang w:val="de-AT"/>
        </w:rPr>
      </w:pPr>
      <w:r w:rsidRPr="00993C92">
        <w:rPr>
          <w:rFonts w:ascii="Calibri" w:hAnsi="Calibri" w:cs="Calibri"/>
          <w:noProof/>
          <w:szCs w:val="24"/>
        </w:rPr>
        <w:t xml:space="preserve">Eckl-Dorna, J., Villazala-Merino, S., Linhart, B., Karaulov, A. V., Zhernov, Y., Khaitov, M., Niederberger-Leppin, V., and Valenta, R. (2019). Allergen-specific antibodies regulate secondary allergen-specific immune responses. Front. </w:t>
      </w:r>
      <w:r w:rsidRPr="00993C92">
        <w:rPr>
          <w:rFonts w:ascii="Calibri" w:hAnsi="Calibri" w:cs="Calibri"/>
          <w:noProof/>
          <w:szCs w:val="24"/>
          <w:lang w:val="de-AT"/>
        </w:rPr>
        <w:t xml:space="preserve">Immunol. </w:t>
      </w:r>
      <w:r w:rsidRPr="00993C92">
        <w:rPr>
          <w:rFonts w:ascii="Calibri" w:hAnsi="Calibri" w:cs="Calibri"/>
          <w:i/>
          <w:iCs/>
          <w:noProof/>
          <w:szCs w:val="24"/>
          <w:lang w:val="de-AT"/>
        </w:rPr>
        <w:t>10</w:t>
      </w:r>
      <w:r w:rsidRPr="00993C92">
        <w:rPr>
          <w:rFonts w:ascii="Calibri" w:hAnsi="Calibri" w:cs="Calibri"/>
          <w:noProof/>
          <w:szCs w:val="24"/>
          <w:lang w:val="de-AT"/>
        </w:rPr>
        <w:t>, 1–15.</w:t>
      </w:r>
    </w:p>
    <w:p w14:paraId="5EC4DCE7"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lang w:val="de-AT"/>
        </w:rPr>
        <w:t xml:space="preserve">Fadlallah, J., Sterlin, D., Fieschi, C., Parizot, C., Dorgham, K., El Kafsi, H., Autaa, G., Ghillani-Dalbin, P., Juste, C., Lepage, P., et al. </w:t>
      </w:r>
      <w:r w:rsidRPr="00993C92">
        <w:rPr>
          <w:rFonts w:ascii="Calibri" w:hAnsi="Calibri" w:cs="Calibri"/>
          <w:noProof/>
          <w:szCs w:val="24"/>
        </w:rPr>
        <w:t>(2018). Synergistic convergence of microbiota-specific systemic IgG and secretory IgA. J. Allergy Clin. Immunol.</w:t>
      </w:r>
    </w:p>
    <w:p w14:paraId="415B65C8"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rPr>
        <w:t xml:space="preserve">Fitzsimmons, C.M., Falcone, F.H., and Dunne, D.W. (2014). Helminth allergens, parasite-specific IgE, and its protective role in human immunity. Front. Immunol. </w:t>
      </w:r>
      <w:r w:rsidRPr="00993C92">
        <w:rPr>
          <w:rFonts w:ascii="Calibri" w:hAnsi="Calibri" w:cs="Calibri"/>
          <w:i/>
          <w:iCs/>
          <w:noProof/>
          <w:szCs w:val="24"/>
        </w:rPr>
        <w:t>5</w:t>
      </w:r>
      <w:r w:rsidRPr="00993C92">
        <w:rPr>
          <w:rFonts w:ascii="Calibri" w:hAnsi="Calibri" w:cs="Calibri"/>
          <w:noProof/>
          <w:szCs w:val="24"/>
        </w:rPr>
        <w:t>, 1–12.</w:t>
      </w:r>
    </w:p>
    <w:p w14:paraId="6A5C77A8"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rPr>
        <w:t xml:space="preserve">Forsström, B., Axnäs, B.B., Stengele, K.-P., Bühler, J., Albert, T.J., Richmond, T.A., Hu, F.J., Nilsson, P., Hudson, E.P., Rockberg, J., et al. (2014). Proteome-wide Epitope Mapping of Antibodies Using Ultra-dense Peptide Arrays. Mol. Cell. Proteomics </w:t>
      </w:r>
      <w:r w:rsidRPr="00993C92">
        <w:rPr>
          <w:rFonts w:ascii="Calibri" w:hAnsi="Calibri" w:cs="Calibri"/>
          <w:i/>
          <w:iCs/>
          <w:noProof/>
          <w:szCs w:val="24"/>
        </w:rPr>
        <w:t>13</w:t>
      </w:r>
      <w:r w:rsidRPr="00993C92">
        <w:rPr>
          <w:rFonts w:ascii="Calibri" w:hAnsi="Calibri" w:cs="Calibri"/>
          <w:noProof/>
          <w:szCs w:val="24"/>
        </w:rPr>
        <w:t>, 1585–1597.</w:t>
      </w:r>
    </w:p>
    <w:p w14:paraId="7867453D"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rPr>
        <w:t xml:space="preserve">Forsström, B., Bisławska Axnäs, B., Rockberg, J., Danielsson, H., Bohlin, A., and Uhlen, M. (2015). Dissecting antibodies with regards to linear and conformational epitopes. PLoS One </w:t>
      </w:r>
      <w:r w:rsidRPr="00993C92">
        <w:rPr>
          <w:rFonts w:ascii="Calibri" w:hAnsi="Calibri" w:cs="Calibri"/>
          <w:i/>
          <w:iCs/>
          <w:noProof/>
          <w:szCs w:val="24"/>
        </w:rPr>
        <w:t>10</w:t>
      </w:r>
      <w:r w:rsidRPr="00993C92">
        <w:rPr>
          <w:rFonts w:ascii="Calibri" w:hAnsi="Calibri" w:cs="Calibri"/>
          <w:noProof/>
          <w:szCs w:val="24"/>
        </w:rPr>
        <w:t>, 1–11.</w:t>
      </w:r>
    </w:p>
    <w:p w14:paraId="2CD833DE"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lang w:val="de-AT"/>
        </w:rPr>
      </w:pPr>
      <w:r w:rsidRPr="00993C92">
        <w:rPr>
          <w:rFonts w:ascii="Calibri" w:hAnsi="Calibri" w:cs="Calibri"/>
          <w:noProof/>
          <w:szCs w:val="24"/>
        </w:rPr>
        <w:t xml:space="preserve">Frith, M.C., Saunders, N.F.W., Kobe, B., and Bailey, T.L. (2008). Discovering sequence motifs with arbitrary insertions and deletions. PLoS Comput. </w:t>
      </w:r>
      <w:r w:rsidRPr="00993C92">
        <w:rPr>
          <w:rFonts w:ascii="Calibri" w:hAnsi="Calibri" w:cs="Calibri"/>
          <w:noProof/>
          <w:szCs w:val="24"/>
          <w:lang w:val="de-AT"/>
        </w:rPr>
        <w:t xml:space="preserve">Biol. </w:t>
      </w:r>
      <w:r w:rsidRPr="00993C92">
        <w:rPr>
          <w:rFonts w:ascii="Calibri" w:hAnsi="Calibri" w:cs="Calibri"/>
          <w:i/>
          <w:iCs/>
          <w:noProof/>
          <w:szCs w:val="24"/>
          <w:lang w:val="de-AT"/>
        </w:rPr>
        <w:t>4</w:t>
      </w:r>
      <w:r w:rsidRPr="00993C92">
        <w:rPr>
          <w:rFonts w:ascii="Calibri" w:hAnsi="Calibri" w:cs="Calibri"/>
          <w:noProof/>
          <w:szCs w:val="24"/>
          <w:lang w:val="de-AT"/>
        </w:rPr>
        <w:t>, e1000071.</w:t>
      </w:r>
    </w:p>
    <w:p w14:paraId="7D4A851D"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lang w:val="de-AT"/>
        </w:rPr>
        <w:t xml:space="preserve">Frossard, C.P., Hauser, C., and Eigenmann, P.A. (2004). </w:t>
      </w:r>
      <w:r w:rsidRPr="00993C92">
        <w:rPr>
          <w:rFonts w:ascii="Calibri" w:hAnsi="Calibri" w:cs="Calibri"/>
          <w:noProof/>
          <w:szCs w:val="24"/>
        </w:rPr>
        <w:t xml:space="preserve">Antigen-specific secretory IgA antibodies in the gut are decreased in a mouse model of food allergy. J. Allergy Clin. Immunol. </w:t>
      </w:r>
      <w:r w:rsidRPr="00993C92">
        <w:rPr>
          <w:rFonts w:ascii="Calibri" w:hAnsi="Calibri" w:cs="Calibri"/>
          <w:i/>
          <w:iCs/>
          <w:noProof/>
          <w:szCs w:val="24"/>
        </w:rPr>
        <w:t>114</w:t>
      </w:r>
      <w:r w:rsidRPr="00993C92">
        <w:rPr>
          <w:rFonts w:ascii="Calibri" w:hAnsi="Calibri" w:cs="Calibri"/>
          <w:noProof/>
          <w:szCs w:val="24"/>
        </w:rPr>
        <w:t>, 377–382.</w:t>
      </w:r>
    </w:p>
    <w:p w14:paraId="2EE1B5F4"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rPr>
        <w:t xml:space="preserve">Geisslitz, S., Shewry, P., Brouns, F., America, A.H.P., Caio, G.P.I., Daly, M., D’Amico, S., De Giorgio, R., Gilissen, L., Grausgruber, H., et al. (2021). Wheat ATIs: Characteristics and Role in Human Disease. Front. Nutr. </w:t>
      </w:r>
      <w:r w:rsidRPr="00993C92">
        <w:rPr>
          <w:rFonts w:ascii="Calibri" w:hAnsi="Calibri" w:cs="Calibri"/>
          <w:i/>
          <w:iCs/>
          <w:noProof/>
          <w:szCs w:val="24"/>
        </w:rPr>
        <w:t>8</w:t>
      </w:r>
      <w:r w:rsidRPr="00993C92">
        <w:rPr>
          <w:rFonts w:ascii="Calibri" w:hAnsi="Calibri" w:cs="Calibri"/>
          <w:noProof/>
          <w:szCs w:val="24"/>
        </w:rPr>
        <w:t>, 667370.</w:t>
      </w:r>
    </w:p>
    <w:p w14:paraId="240E1467"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rPr>
        <w:t xml:space="preserve">Gocki, J., and Bartuzi, Z. (2016). Role of immunoglobulin G antibodies in diagnosis of food allergy. Postep. Dermatologii i Alergol. </w:t>
      </w:r>
      <w:r w:rsidRPr="00993C92">
        <w:rPr>
          <w:rFonts w:ascii="Calibri" w:hAnsi="Calibri" w:cs="Calibri"/>
          <w:i/>
          <w:iCs/>
          <w:noProof/>
          <w:szCs w:val="24"/>
        </w:rPr>
        <w:t>33</w:t>
      </w:r>
      <w:r w:rsidRPr="00993C92">
        <w:rPr>
          <w:rFonts w:ascii="Calibri" w:hAnsi="Calibri" w:cs="Calibri"/>
          <w:noProof/>
          <w:szCs w:val="24"/>
        </w:rPr>
        <w:t>, 253–256.</w:t>
      </w:r>
    </w:p>
    <w:p w14:paraId="4B318730"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rPr>
        <w:t xml:space="preserve">Goodman, R.E., Ebisawa, M., Ferreira, F., Sampson, H.A., van Ree, R., Vieths, S., Baumert, J.L., Bohle, B., Lalithambika, S., Wise, J., et al. (2016). AllergenOnline: A peer-reviewed, curated allergen database to assess novel food proteins for potential cross-reactivity. Mol. Nutr. Food Res. </w:t>
      </w:r>
      <w:r w:rsidRPr="00993C92">
        <w:rPr>
          <w:rFonts w:ascii="Calibri" w:hAnsi="Calibri" w:cs="Calibri"/>
          <w:i/>
          <w:iCs/>
          <w:noProof/>
          <w:szCs w:val="24"/>
        </w:rPr>
        <w:t>60</w:t>
      </w:r>
      <w:r w:rsidRPr="00993C92">
        <w:rPr>
          <w:rFonts w:ascii="Calibri" w:hAnsi="Calibri" w:cs="Calibri"/>
          <w:noProof/>
          <w:szCs w:val="24"/>
        </w:rPr>
        <w:t>, 1183–1198.</w:t>
      </w:r>
    </w:p>
    <w:p w14:paraId="461C1920"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rPr>
        <w:t xml:space="preserve">Halfmann, R., Alberti, S., Krishnan, R., Lyle, N., O’Donnell, C.W., King, O.D., Berger, B., Pappu, R. V., and Lindquist, S. (2011). Opposing Effects of Glutamine and Asparagine Govern Prion Formation by Intrinsically Disordered Proteins. Mol. Cell </w:t>
      </w:r>
      <w:r w:rsidRPr="00993C92">
        <w:rPr>
          <w:rFonts w:ascii="Calibri" w:hAnsi="Calibri" w:cs="Calibri"/>
          <w:i/>
          <w:iCs/>
          <w:noProof/>
          <w:szCs w:val="24"/>
        </w:rPr>
        <w:t>43</w:t>
      </w:r>
      <w:r w:rsidRPr="00993C92">
        <w:rPr>
          <w:rFonts w:ascii="Calibri" w:hAnsi="Calibri" w:cs="Calibri"/>
          <w:noProof/>
          <w:szCs w:val="24"/>
        </w:rPr>
        <w:t>, 72–84.</w:t>
      </w:r>
    </w:p>
    <w:p w14:paraId="3EFCAE8D"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rPr>
        <w:t xml:space="preserve">Hamilton, R.G. (2009). Relevance of (IgG anti-IgE)-IgE complexes, IgG subclass and modern IgG antibody autoanalyzers in the dying IgG reagin story. Allergy Eur. J. Allergy Clin. Immunol. </w:t>
      </w:r>
      <w:r w:rsidRPr="00993C92">
        <w:rPr>
          <w:rFonts w:ascii="Calibri" w:hAnsi="Calibri" w:cs="Calibri"/>
          <w:i/>
          <w:iCs/>
          <w:noProof/>
          <w:szCs w:val="24"/>
        </w:rPr>
        <w:t>64</w:t>
      </w:r>
      <w:r w:rsidRPr="00993C92">
        <w:rPr>
          <w:rFonts w:ascii="Calibri" w:hAnsi="Calibri" w:cs="Calibri"/>
          <w:noProof/>
          <w:szCs w:val="24"/>
        </w:rPr>
        <w:t>, 317–318.</w:t>
      </w:r>
    </w:p>
    <w:p w14:paraId="7EC12D76"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rPr>
        <w:t xml:space="preserve">He, J.-S., Subramaniam, S., Narang, V., Srinivasan, K., Saunders, S.P., Carbajo, D., Wen-Shan, T., Hidayah Hamadee, N., Lum, J., Lee, A., et al. (2017). IgG1 memory B cells keep the memory of IgE responses. Nat. Commun. </w:t>
      </w:r>
      <w:r w:rsidRPr="00993C92">
        <w:rPr>
          <w:rFonts w:ascii="Calibri" w:hAnsi="Calibri" w:cs="Calibri"/>
          <w:i/>
          <w:iCs/>
          <w:noProof/>
          <w:szCs w:val="24"/>
        </w:rPr>
        <w:t>8</w:t>
      </w:r>
      <w:r w:rsidRPr="00993C92">
        <w:rPr>
          <w:rFonts w:ascii="Calibri" w:hAnsi="Calibri" w:cs="Calibri"/>
          <w:noProof/>
          <w:szCs w:val="24"/>
        </w:rPr>
        <w:t>, 641.</w:t>
      </w:r>
    </w:p>
    <w:p w14:paraId="53FA0AB1"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lang w:val="de-AT"/>
        </w:rPr>
      </w:pPr>
      <w:r w:rsidRPr="00993C92">
        <w:rPr>
          <w:rFonts w:ascii="Calibri" w:hAnsi="Calibri" w:cs="Calibri"/>
          <w:noProof/>
          <w:szCs w:val="24"/>
        </w:rPr>
        <w:t xml:space="preserve">Hemler, J.A., Phillips, E.J., Mallal, S.A., and Kendall, P.L. (2015). The evolving story of human leukocyte antigen and the immunogenetics of peanut allergy. </w:t>
      </w:r>
      <w:r w:rsidRPr="00993C92">
        <w:rPr>
          <w:rFonts w:ascii="Calibri" w:hAnsi="Calibri" w:cs="Calibri"/>
          <w:noProof/>
          <w:szCs w:val="24"/>
          <w:lang w:val="de-AT"/>
        </w:rPr>
        <w:t xml:space="preserve">Ann. Allergy. Asthma Immunol. </w:t>
      </w:r>
      <w:r w:rsidRPr="00993C92">
        <w:rPr>
          <w:rFonts w:ascii="Calibri" w:hAnsi="Calibri" w:cs="Calibri"/>
          <w:i/>
          <w:iCs/>
          <w:noProof/>
          <w:szCs w:val="24"/>
          <w:lang w:val="de-AT"/>
        </w:rPr>
        <w:t>115</w:t>
      </w:r>
      <w:r w:rsidRPr="00993C92">
        <w:rPr>
          <w:rFonts w:ascii="Calibri" w:hAnsi="Calibri" w:cs="Calibri"/>
          <w:noProof/>
          <w:szCs w:val="24"/>
          <w:lang w:val="de-AT"/>
        </w:rPr>
        <w:t>, 471–476.</w:t>
      </w:r>
    </w:p>
    <w:p w14:paraId="3A7907D6"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lang w:val="de-AT"/>
        </w:rPr>
        <w:t xml:space="preserve">Hoh, R.A., and Boyd, S.D. (2018). </w:t>
      </w:r>
      <w:r w:rsidRPr="00993C92">
        <w:rPr>
          <w:rFonts w:ascii="Calibri" w:hAnsi="Calibri" w:cs="Calibri"/>
          <w:noProof/>
          <w:szCs w:val="24"/>
        </w:rPr>
        <w:t xml:space="preserve">Gut Mucosal Antibody Responses and Implications for Food Allergy. Front. Immunol. </w:t>
      </w:r>
      <w:r w:rsidRPr="00993C92">
        <w:rPr>
          <w:rFonts w:ascii="Calibri" w:hAnsi="Calibri" w:cs="Calibri"/>
          <w:i/>
          <w:iCs/>
          <w:noProof/>
          <w:szCs w:val="24"/>
        </w:rPr>
        <w:t>9</w:t>
      </w:r>
      <w:r w:rsidRPr="00993C92">
        <w:rPr>
          <w:rFonts w:ascii="Calibri" w:hAnsi="Calibri" w:cs="Calibri"/>
          <w:noProof/>
          <w:szCs w:val="24"/>
        </w:rPr>
        <w:t>, 2221.</w:t>
      </w:r>
    </w:p>
    <w:p w14:paraId="502E66EC"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rPr>
        <w:t xml:space="preserve">Hoof, I., Schulten, V., Layhadi, J.A., Stranzl, T., Christensen, L.H., Herrera de la Mata, S., Seumois, G., Vijayanand, P., Lundegaard, C., Niss, K., et al. (2020). Allergen-specific IgG+ memory B cells are temporally linked to IgE memory responses. J. Allergy Clin. Immunol. </w:t>
      </w:r>
      <w:r w:rsidRPr="00993C92">
        <w:rPr>
          <w:rFonts w:ascii="Calibri" w:hAnsi="Calibri" w:cs="Calibri"/>
          <w:i/>
          <w:iCs/>
          <w:noProof/>
          <w:szCs w:val="24"/>
        </w:rPr>
        <w:t>146</w:t>
      </w:r>
      <w:r w:rsidRPr="00993C92">
        <w:rPr>
          <w:rFonts w:ascii="Calibri" w:hAnsi="Calibri" w:cs="Calibri"/>
          <w:noProof/>
          <w:szCs w:val="24"/>
        </w:rPr>
        <w:t>, 180–191.</w:t>
      </w:r>
    </w:p>
    <w:p w14:paraId="1F2F3ED5"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rPr>
        <w:t xml:space="preserve">Husby, S., Oxelius, V.A., Teisner, B., Jensenius, J.C., and Svehag, S.E. (1985). Humoral immunity to dietary antigens in healthy adults. Occurrence, isotype and IgG subclass distribution of serum antibodies to protein antigens. Int. Arch. Allergy Appl. Immunol. </w:t>
      </w:r>
      <w:r w:rsidRPr="00993C92">
        <w:rPr>
          <w:rFonts w:ascii="Calibri" w:hAnsi="Calibri" w:cs="Calibri"/>
          <w:i/>
          <w:iCs/>
          <w:noProof/>
          <w:szCs w:val="24"/>
        </w:rPr>
        <w:t>77</w:t>
      </w:r>
      <w:r w:rsidRPr="00993C92">
        <w:rPr>
          <w:rFonts w:ascii="Calibri" w:hAnsi="Calibri" w:cs="Calibri"/>
          <w:noProof/>
          <w:szCs w:val="24"/>
        </w:rPr>
        <w:t>, 416–422.</w:t>
      </w:r>
    </w:p>
    <w:p w14:paraId="728A35B6"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rPr>
        <w:t>Huus, K.E., Bauer, K.C., Brown, E.M., Bozorgmehr, T., Woodward, S.E., Serapio-Palacios, A., Boutin, R.C.T., Petersen, C., and Finlay, B.B. (2020). Commensal Bacteria Modulate Immunoglobulin A Binding in Response to Host Nutrition. Cell Host Microbe 1–13.</w:t>
      </w:r>
    </w:p>
    <w:p w14:paraId="3B3B7A22"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rPr>
        <w:t xml:space="preserve">Ivanciuc, O., Schein, C.H., and Braun, W. (2003). SDAP: database and computational tools for allergenic proteins. Nucleic Acids Res. </w:t>
      </w:r>
      <w:r w:rsidRPr="00993C92">
        <w:rPr>
          <w:rFonts w:ascii="Calibri" w:hAnsi="Calibri" w:cs="Calibri"/>
          <w:i/>
          <w:iCs/>
          <w:noProof/>
          <w:szCs w:val="24"/>
        </w:rPr>
        <w:t>31</w:t>
      </w:r>
      <w:r w:rsidRPr="00993C92">
        <w:rPr>
          <w:rFonts w:ascii="Calibri" w:hAnsi="Calibri" w:cs="Calibri"/>
          <w:noProof/>
          <w:szCs w:val="24"/>
        </w:rPr>
        <w:t>, 359–362.</w:t>
      </w:r>
    </w:p>
    <w:p w14:paraId="73C93D4B"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rPr>
        <w:t xml:space="preserve">James, L.K., and Till, S.J. (2016). Potential Mechanisms for IgG4 Inhibition of Immediate Hypersensitivity Reactions. Curr. Allergy Asthma Rep. </w:t>
      </w:r>
      <w:r w:rsidRPr="00993C92">
        <w:rPr>
          <w:rFonts w:ascii="Calibri" w:hAnsi="Calibri" w:cs="Calibri"/>
          <w:i/>
          <w:iCs/>
          <w:noProof/>
          <w:szCs w:val="24"/>
        </w:rPr>
        <w:t>16</w:t>
      </w:r>
      <w:r w:rsidRPr="00993C92">
        <w:rPr>
          <w:rFonts w:ascii="Calibri" w:hAnsi="Calibri" w:cs="Calibri"/>
          <w:noProof/>
          <w:szCs w:val="24"/>
        </w:rPr>
        <w:t>, 23.</w:t>
      </w:r>
    </w:p>
    <w:p w14:paraId="0A416960"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rPr>
        <w:t xml:space="preserve">Junker, Y., Zeissig, S., Kim, S.-J., Barisani, D., Wieser, H., Leffler, D.A., Zevallos, V., Libermann, T.A., Dillon, S., Freitag, T.L., et al. (2012). Wheat amylase trypsin inhibitors drive intestinal inflammation via activation of toll-like receptor 4. J. Exp. Med. </w:t>
      </w:r>
      <w:r w:rsidRPr="00993C92">
        <w:rPr>
          <w:rFonts w:ascii="Calibri" w:hAnsi="Calibri" w:cs="Calibri"/>
          <w:i/>
          <w:iCs/>
          <w:noProof/>
          <w:szCs w:val="24"/>
        </w:rPr>
        <w:t>209</w:t>
      </w:r>
      <w:r w:rsidRPr="00993C92">
        <w:rPr>
          <w:rFonts w:ascii="Calibri" w:hAnsi="Calibri" w:cs="Calibri"/>
          <w:noProof/>
          <w:szCs w:val="24"/>
        </w:rPr>
        <w:t>, 2395–2408.</w:t>
      </w:r>
    </w:p>
    <w:p w14:paraId="0A74368F"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rPr>
        <w:t xml:space="preserve">Kamemura, N., Takashima, M., Morita, H., Matsumoto, K., Saito, H., and Kido, H. (2015). Measurement of allergen-specific secretory IgA in stool of neonates, infants and toddlers by protection against degradation of immunoglobulins and allergens. J. Med. Invest. </w:t>
      </w:r>
      <w:r w:rsidRPr="00993C92">
        <w:rPr>
          <w:rFonts w:ascii="Calibri" w:hAnsi="Calibri" w:cs="Calibri"/>
          <w:i/>
          <w:iCs/>
          <w:noProof/>
          <w:szCs w:val="24"/>
        </w:rPr>
        <w:t>62</w:t>
      </w:r>
      <w:r w:rsidRPr="00993C92">
        <w:rPr>
          <w:rFonts w:ascii="Calibri" w:hAnsi="Calibri" w:cs="Calibri"/>
          <w:noProof/>
          <w:szCs w:val="24"/>
        </w:rPr>
        <w:t>, 137–144.</w:t>
      </w:r>
    </w:p>
    <w:p w14:paraId="275DC5A5"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rPr>
        <w:t xml:space="preserve">Konstantinou, G.N., Nowak-Węgrzyn, A., Bencharitiwong, R., Bardina, L., Sicherer, S.H., and Sampson, H.A. (2014a). Egg-white-specific IgA and IgA2 antibodies in egg-allergic children: is there a role in tolerance induction? Pediatr. Allergy Immunol. </w:t>
      </w:r>
      <w:r w:rsidRPr="00993C92">
        <w:rPr>
          <w:rFonts w:ascii="Calibri" w:hAnsi="Calibri" w:cs="Calibri"/>
          <w:i/>
          <w:iCs/>
          <w:noProof/>
          <w:szCs w:val="24"/>
        </w:rPr>
        <w:t>25</w:t>
      </w:r>
      <w:r w:rsidRPr="00993C92">
        <w:rPr>
          <w:rFonts w:ascii="Calibri" w:hAnsi="Calibri" w:cs="Calibri"/>
          <w:noProof/>
          <w:szCs w:val="24"/>
        </w:rPr>
        <w:t>, 64–70.</w:t>
      </w:r>
    </w:p>
    <w:p w14:paraId="53741F89"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rPr>
        <w:t xml:space="preserve">Konstantinou, G.N., Bencharitiwong, R., Grishin, A., Caubet, J.-C., Bardina, L., Sicherer, S.H., Sampson, H.A., and Nowak-Węgrzyn, A. (2014b). The role of casein-specific IgA and TGF-β in children with food protein-induced enterocolitis syndrome to milk. Pediatr. Allergy Immunol. </w:t>
      </w:r>
      <w:r w:rsidRPr="00993C92">
        <w:rPr>
          <w:rFonts w:ascii="Calibri" w:hAnsi="Calibri" w:cs="Calibri"/>
          <w:i/>
          <w:iCs/>
          <w:noProof/>
          <w:szCs w:val="24"/>
        </w:rPr>
        <w:t>25</w:t>
      </w:r>
      <w:r w:rsidRPr="00993C92">
        <w:rPr>
          <w:rFonts w:ascii="Calibri" w:hAnsi="Calibri" w:cs="Calibri"/>
          <w:noProof/>
          <w:szCs w:val="24"/>
        </w:rPr>
        <w:t>, 651–656.</w:t>
      </w:r>
    </w:p>
    <w:p w14:paraId="28EAA762"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rPr>
        <w:t xml:space="preserve">Korem, T., Zeevi, D., Zmora, N., Weissbrod, O., Bar, N., Lotan-Pompan, M., Avnit-Sagi, T., Kosower, N., Malka, G., Rein, M., et al. (2017). Bread Affects Clinical Parameters and Induces Gut Microbiome-Associated Personal Glycemic Responses. Cell Metab. </w:t>
      </w:r>
      <w:r w:rsidRPr="00993C92">
        <w:rPr>
          <w:rFonts w:ascii="Calibri" w:hAnsi="Calibri" w:cs="Calibri"/>
          <w:i/>
          <w:iCs/>
          <w:noProof/>
          <w:szCs w:val="24"/>
        </w:rPr>
        <w:t>25</w:t>
      </w:r>
      <w:r w:rsidRPr="00993C92">
        <w:rPr>
          <w:rFonts w:ascii="Calibri" w:hAnsi="Calibri" w:cs="Calibri"/>
          <w:noProof/>
          <w:szCs w:val="24"/>
        </w:rPr>
        <w:t>, 1243-1253.e5.</w:t>
      </w:r>
    </w:p>
    <w:p w14:paraId="4D24218F"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rPr>
        <w:t xml:space="preserve">Kostara, M., Chondrou, V., Sgourou, A., Douros, K., and Tsabouri, S. (2020). HLA Polymorphisms and Food Allergy Predisposition. J. Pediatr. Genet. </w:t>
      </w:r>
      <w:r w:rsidRPr="00993C92">
        <w:rPr>
          <w:rFonts w:ascii="Calibri" w:hAnsi="Calibri" w:cs="Calibri"/>
          <w:i/>
          <w:iCs/>
          <w:noProof/>
          <w:szCs w:val="24"/>
        </w:rPr>
        <w:t>9</w:t>
      </w:r>
      <w:r w:rsidRPr="00993C92">
        <w:rPr>
          <w:rFonts w:ascii="Calibri" w:hAnsi="Calibri" w:cs="Calibri"/>
          <w:noProof/>
          <w:szCs w:val="24"/>
        </w:rPr>
        <w:t>, 77–86.</w:t>
      </w:r>
    </w:p>
    <w:p w14:paraId="7E28454F"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rPr>
        <w:t xml:space="preserve">Kumar, S., Stecher, G., Li, M., Knyaz, C., and Tamura, K. (2018). MEGA X: Molecular Evolutionary Genetics Analysis across Computing Platforms. Mol. Biol. Evol. </w:t>
      </w:r>
      <w:r w:rsidRPr="00993C92">
        <w:rPr>
          <w:rFonts w:ascii="Calibri" w:hAnsi="Calibri" w:cs="Calibri"/>
          <w:i/>
          <w:iCs/>
          <w:noProof/>
          <w:szCs w:val="24"/>
        </w:rPr>
        <w:t>35</w:t>
      </w:r>
      <w:r w:rsidRPr="00993C92">
        <w:rPr>
          <w:rFonts w:ascii="Calibri" w:hAnsi="Calibri" w:cs="Calibri"/>
          <w:noProof/>
          <w:szCs w:val="24"/>
        </w:rPr>
        <w:t>, 1547–1549.</w:t>
      </w:r>
    </w:p>
    <w:p w14:paraId="69F7EA26"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rPr>
        <w:t xml:space="preserve">Larman, H.B., Zhao, Z., Laserson, U., Li, M.Z., Ciccia, A., Gakidis, M.A.M., Church, G.M., Kesari, S., Leproust, E.M., Solimini, N.L., et al. (2011). Autoantigen discovery with a synthetic human peptidome. Nat. Biotechnol. </w:t>
      </w:r>
      <w:r w:rsidRPr="00993C92">
        <w:rPr>
          <w:rFonts w:ascii="Calibri" w:hAnsi="Calibri" w:cs="Calibri"/>
          <w:i/>
          <w:iCs/>
          <w:noProof/>
          <w:szCs w:val="24"/>
        </w:rPr>
        <w:t>29</w:t>
      </w:r>
      <w:r w:rsidRPr="00993C92">
        <w:rPr>
          <w:rFonts w:ascii="Calibri" w:hAnsi="Calibri" w:cs="Calibri"/>
          <w:noProof/>
          <w:szCs w:val="24"/>
        </w:rPr>
        <w:t>, 535–541.</w:t>
      </w:r>
    </w:p>
    <w:p w14:paraId="66DE96C8"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rPr>
        <w:t xml:space="preserve">Larman, H.B., Laserson, U., Querol, L., Verhaeghen, K., Solimini, N.L., Xu, G.J., Klarenbeek, P.L., Church, G.M., Hafler, D.A., Plenge, R.M., et al. (2013). PhIP-Seq characterization of autoantibodies from patients with multiple sclerosis, type 1 diabetes and rheumatoid arthritis. J. Autoimmun. </w:t>
      </w:r>
      <w:r w:rsidRPr="00993C92">
        <w:rPr>
          <w:rFonts w:ascii="Calibri" w:hAnsi="Calibri" w:cs="Calibri"/>
          <w:i/>
          <w:iCs/>
          <w:noProof/>
          <w:szCs w:val="24"/>
        </w:rPr>
        <w:t>43</w:t>
      </w:r>
      <w:r w:rsidRPr="00993C92">
        <w:rPr>
          <w:rFonts w:ascii="Calibri" w:hAnsi="Calibri" w:cs="Calibri"/>
          <w:noProof/>
          <w:szCs w:val="24"/>
        </w:rPr>
        <w:t>, 1–9.</w:t>
      </w:r>
    </w:p>
    <w:p w14:paraId="044B74D7"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rPr>
        <w:t>Li, H., Limenitakis, J.P., Greiff, V., Yilmaz, B., Schären, O., Urbaniak, C., Zünd, M., Lawson, M.A.E., Young, I.D., Rupp, S., et al. (2020). Mucosal or systemic microbiota exposures shape the B cell repertoire. Nature.</w:t>
      </w:r>
    </w:p>
    <w:p w14:paraId="5DCE0B16"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rPr>
        <w:t xml:space="preserve">Lundberg, S.M., and Lee, S.I. (2017). A unified approach to interpreting model predictions. Adv. Neural Inf. Process. Syst. </w:t>
      </w:r>
      <w:r w:rsidRPr="00993C92">
        <w:rPr>
          <w:rFonts w:ascii="Calibri" w:hAnsi="Calibri" w:cs="Calibri"/>
          <w:i/>
          <w:iCs/>
          <w:noProof/>
          <w:szCs w:val="24"/>
        </w:rPr>
        <w:t>2017</w:t>
      </w:r>
      <w:r w:rsidRPr="00993C92">
        <w:rPr>
          <w:rFonts w:ascii="Calibri" w:hAnsi="Calibri" w:cs="Calibri"/>
          <w:noProof/>
          <w:szCs w:val="24"/>
        </w:rPr>
        <w:t>-</w:t>
      </w:r>
      <w:r w:rsidRPr="00993C92">
        <w:rPr>
          <w:rFonts w:ascii="Calibri" w:hAnsi="Calibri" w:cs="Calibri"/>
          <w:i/>
          <w:iCs/>
          <w:noProof/>
          <w:szCs w:val="24"/>
        </w:rPr>
        <w:t>Decem</w:t>
      </w:r>
      <w:r w:rsidRPr="00993C92">
        <w:rPr>
          <w:rFonts w:ascii="Calibri" w:hAnsi="Calibri" w:cs="Calibri"/>
          <w:noProof/>
          <w:szCs w:val="24"/>
        </w:rPr>
        <w:t>, 4766–4775.</w:t>
      </w:r>
    </w:p>
    <w:p w14:paraId="448C208F"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rPr>
        <w:t xml:space="preserve">Lyons, S.A., Burney, P.G.J., Ballmer-Weber, B.K., Fernandez-Rivas, M., Barreales, L., Clausen, M., Dubakiene, R., Fernandez-Perez, C., Fritsche, P., Jedrzejczak-Czechowicz, M., et al. Food Allergy in Adults: Substantial Variation in Prevalence and Causative Foods Across Europe. J. Allergy Clin. Immunol. Pract. </w:t>
      </w:r>
      <w:r w:rsidRPr="00993C92">
        <w:rPr>
          <w:rFonts w:ascii="Calibri" w:hAnsi="Calibri" w:cs="Calibri"/>
          <w:i/>
          <w:iCs/>
          <w:noProof/>
          <w:szCs w:val="24"/>
        </w:rPr>
        <w:t>7</w:t>
      </w:r>
      <w:r w:rsidRPr="00993C92">
        <w:rPr>
          <w:rFonts w:ascii="Calibri" w:hAnsi="Calibri" w:cs="Calibri"/>
          <w:noProof/>
          <w:szCs w:val="24"/>
        </w:rPr>
        <w:t>, 1920-1928.e11.</w:t>
      </w:r>
    </w:p>
    <w:p w14:paraId="4EC9F86C"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rPr>
        <w:t xml:space="preserve">Mari, A., Scala, E., Palazzo, P., Ridolfi, S., Zennaro, D., and Carabella, G. (2006). Bioinformatics applied to allergy: allergen databases, from collecting sequence information to data integration. The Allergome platform as a model. Cell. Immunol. </w:t>
      </w:r>
      <w:r w:rsidRPr="00993C92">
        <w:rPr>
          <w:rFonts w:ascii="Calibri" w:hAnsi="Calibri" w:cs="Calibri"/>
          <w:i/>
          <w:iCs/>
          <w:noProof/>
          <w:szCs w:val="24"/>
        </w:rPr>
        <w:t>244</w:t>
      </w:r>
      <w:r w:rsidRPr="00993C92">
        <w:rPr>
          <w:rFonts w:ascii="Calibri" w:hAnsi="Calibri" w:cs="Calibri"/>
          <w:noProof/>
          <w:szCs w:val="24"/>
        </w:rPr>
        <w:t>, 97–100.</w:t>
      </w:r>
    </w:p>
    <w:p w14:paraId="354C2558"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rPr>
        <w:t xml:space="preserve">Maurer, M., Altrichter, S., Schmetzer, O., Scheffel, J., Church, M.K., and Metz, M. (2018). Immunoglobulin E-Mediated Autoimmunity. Front. Immunol. </w:t>
      </w:r>
      <w:r w:rsidRPr="00993C92">
        <w:rPr>
          <w:rFonts w:ascii="Calibri" w:hAnsi="Calibri" w:cs="Calibri"/>
          <w:i/>
          <w:iCs/>
          <w:noProof/>
          <w:szCs w:val="24"/>
        </w:rPr>
        <w:t>9</w:t>
      </w:r>
      <w:r w:rsidRPr="00993C92">
        <w:rPr>
          <w:rFonts w:ascii="Calibri" w:hAnsi="Calibri" w:cs="Calibri"/>
          <w:noProof/>
          <w:szCs w:val="24"/>
        </w:rPr>
        <w:t>, 689.</w:t>
      </w:r>
    </w:p>
    <w:p w14:paraId="45418034"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rPr>
        <w:t xml:space="preserve">Michailidou, D., Schwartz, D.M., Mustelin, T., and Hughes, G.C. (2021). Allergic Aspects of IgG4-Related Disease: Implications for Pathogenesis and Therapy. Front. Immunol. </w:t>
      </w:r>
      <w:r w:rsidRPr="00993C92">
        <w:rPr>
          <w:rFonts w:ascii="Calibri" w:hAnsi="Calibri" w:cs="Calibri"/>
          <w:i/>
          <w:iCs/>
          <w:noProof/>
          <w:szCs w:val="24"/>
        </w:rPr>
        <w:t>12</w:t>
      </w:r>
      <w:r w:rsidRPr="00993C92">
        <w:rPr>
          <w:rFonts w:ascii="Calibri" w:hAnsi="Calibri" w:cs="Calibri"/>
          <w:noProof/>
          <w:szCs w:val="24"/>
        </w:rPr>
        <w:t>, 693192.</w:t>
      </w:r>
    </w:p>
    <w:p w14:paraId="7CE01F8E"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rPr>
        <w:t xml:space="preserve">Mina, M.J., Kula, T., Leng, Y., Li, M., de Vries, R.D., Knip, M., Siljander, H., Rewers, M., Choy, D.F., Wilson, M.S., et al. (2019). Measles virus infection diminishes preexisting antibodies that offer protection from other pathogens. Science </w:t>
      </w:r>
      <w:r w:rsidRPr="00993C92">
        <w:rPr>
          <w:rFonts w:ascii="Calibri" w:hAnsi="Calibri" w:cs="Calibri"/>
          <w:i/>
          <w:iCs/>
          <w:noProof/>
          <w:szCs w:val="24"/>
        </w:rPr>
        <w:t>366</w:t>
      </w:r>
      <w:r w:rsidRPr="00993C92">
        <w:rPr>
          <w:rFonts w:ascii="Calibri" w:hAnsi="Calibri" w:cs="Calibri"/>
          <w:noProof/>
          <w:szCs w:val="24"/>
        </w:rPr>
        <w:t>, 599–606.</w:t>
      </w:r>
    </w:p>
    <w:p w14:paraId="3D279488"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rPr>
        <w:t xml:space="preserve">Mohammed, A.D., Khan, M.A.W., Chatzistamou, I., Chamseddine, D., Williams-Kang, K., Perry, M., Enos, R., Murphy, A., Gomez, G., Aladhami, A., et al. (2019). Gut Antibody Deficiency in a Mouse Model of CVID Results in Spontaneous Development of a Gluten-Sensitive Enteropathy. Front. Immunol. </w:t>
      </w:r>
      <w:r w:rsidRPr="00993C92">
        <w:rPr>
          <w:rFonts w:ascii="Calibri" w:hAnsi="Calibri" w:cs="Calibri"/>
          <w:i/>
          <w:iCs/>
          <w:noProof/>
          <w:szCs w:val="24"/>
        </w:rPr>
        <w:t>10</w:t>
      </w:r>
      <w:r w:rsidRPr="00993C92">
        <w:rPr>
          <w:rFonts w:ascii="Calibri" w:hAnsi="Calibri" w:cs="Calibri"/>
          <w:noProof/>
          <w:szCs w:val="24"/>
        </w:rPr>
        <w:t>, 2484.</w:t>
      </w:r>
    </w:p>
    <w:p w14:paraId="3279E852"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rPr>
        <w:t xml:space="preserve">Mohan, D., Wansley, D.L., Sie, B.M., Noon, M.S., Baer, A.N., Laserson, U., and Larman, H.B. (2018). PhIP-Seq characterization of serum antibodies using oligonucleotide-encoded peptidomes. Nat. Protoc. </w:t>
      </w:r>
      <w:r w:rsidRPr="00993C92">
        <w:rPr>
          <w:rFonts w:ascii="Calibri" w:hAnsi="Calibri" w:cs="Calibri"/>
          <w:i/>
          <w:iCs/>
          <w:noProof/>
          <w:szCs w:val="24"/>
        </w:rPr>
        <w:t>13</w:t>
      </w:r>
      <w:r w:rsidRPr="00993C92">
        <w:rPr>
          <w:rFonts w:ascii="Calibri" w:hAnsi="Calibri" w:cs="Calibri"/>
          <w:noProof/>
          <w:szCs w:val="24"/>
        </w:rPr>
        <w:t>, 1958–1978.</w:t>
      </w:r>
    </w:p>
    <w:p w14:paraId="09D24D23"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rPr>
        <w:t xml:space="preserve">Monaco, D.R., Sie, B.M., Nirschl, T.R., Knight, A.C., Sampson, H.A., Nowak-Wegrzyn, A., Wood, R.A., Hamilton, R.G., Frischmeyer-Guerrerio, P.A., and Larman, H.B. (2021). Profiling serum antibodies with a pan allergen phage library identifies key wheat allergy epitopes. Nat. Commun. </w:t>
      </w:r>
      <w:r w:rsidRPr="00993C92">
        <w:rPr>
          <w:rFonts w:ascii="Calibri" w:hAnsi="Calibri" w:cs="Calibri"/>
          <w:i/>
          <w:iCs/>
          <w:noProof/>
          <w:szCs w:val="24"/>
        </w:rPr>
        <w:t>12</w:t>
      </w:r>
      <w:r w:rsidRPr="00993C92">
        <w:rPr>
          <w:rFonts w:ascii="Calibri" w:hAnsi="Calibri" w:cs="Calibri"/>
          <w:noProof/>
          <w:szCs w:val="24"/>
        </w:rPr>
        <w:t>.</w:t>
      </w:r>
    </w:p>
    <w:p w14:paraId="63E5E5CB"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rPr>
        <w:t xml:space="preserve">Muralidharan, V., and Goldberg, D.E. (2013). Asparagine Repeats in Plasmodium falciparum Proteins: Good for Nothing? PLoS Pathog. </w:t>
      </w:r>
      <w:r w:rsidRPr="00993C92">
        <w:rPr>
          <w:rFonts w:ascii="Calibri" w:hAnsi="Calibri" w:cs="Calibri"/>
          <w:i/>
          <w:iCs/>
          <w:noProof/>
          <w:szCs w:val="24"/>
        </w:rPr>
        <w:t>9</w:t>
      </w:r>
      <w:r w:rsidRPr="00993C92">
        <w:rPr>
          <w:rFonts w:ascii="Calibri" w:hAnsi="Calibri" w:cs="Calibri"/>
          <w:noProof/>
          <w:szCs w:val="24"/>
        </w:rPr>
        <w:t>, 8–11.</w:t>
      </w:r>
    </w:p>
    <w:p w14:paraId="05AD91CA"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rPr>
        <w:t xml:space="preserve">Nachshon, L., Schwartz, N., Elizur, A., Schon, Y., Cheryomukhin, M., Katz, Y., and Goldberg, M.R. The Prevalence of Food Allergy in Young Israeli Adults. J. Allergy Clin. Immunol. Pract. </w:t>
      </w:r>
      <w:r w:rsidRPr="00993C92">
        <w:rPr>
          <w:rFonts w:ascii="Calibri" w:hAnsi="Calibri" w:cs="Calibri"/>
          <w:i/>
          <w:iCs/>
          <w:noProof/>
          <w:szCs w:val="24"/>
        </w:rPr>
        <w:t>7</w:t>
      </w:r>
      <w:r w:rsidRPr="00993C92">
        <w:rPr>
          <w:rFonts w:ascii="Calibri" w:hAnsi="Calibri" w:cs="Calibri"/>
          <w:noProof/>
          <w:szCs w:val="24"/>
        </w:rPr>
        <w:t>, 2782-2789.e4.</w:t>
      </w:r>
    </w:p>
    <w:p w14:paraId="6EBE9B37"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rPr>
        <w:t xml:space="preserve">Nikolov, G., Todordova, Y., Emilova, R., Hristova, D., Nikolova, M., and Petrunov, B. (2021). Allergen-Specific IgE and IgG4 as Biomarkers for Immunologic Changes during Subcutaneous Allergen Immunotherapy. Antibodies (Basel, Switzerland) </w:t>
      </w:r>
      <w:r w:rsidRPr="00993C92">
        <w:rPr>
          <w:rFonts w:ascii="Calibri" w:hAnsi="Calibri" w:cs="Calibri"/>
          <w:i/>
          <w:iCs/>
          <w:noProof/>
          <w:szCs w:val="24"/>
        </w:rPr>
        <w:t>10</w:t>
      </w:r>
      <w:r w:rsidRPr="00993C92">
        <w:rPr>
          <w:rFonts w:ascii="Calibri" w:hAnsi="Calibri" w:cs="Calibri"/>
          <w:noProof/>
          <w:szCs w:val="24"/>
        </w:rPr>
        <w:t>.</w:t>
      </w:r>
    </w:p>
    <w:p w14:paraId="21558CF6"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rPr>
        <w:t xml:space="preserve">Okamoto, S., Taniuchi, S., Sudo, K., Hatano, Y., Nakano, K., Shimo, T., and Kaneko, K. (2012). Predictive value of IgE/IgG4 antibody ratio in children with egg allergy. Allergy Asthma. Clin. Immunol. </w:t>
      </w:r>
      <w:r w:rsidRPr="00993C92">
        <w:rPr>
          <w:rFonts w:ascii="Calibri" w:hAnsi="Calibri" w:cs="Calibri"/>
          <w:i/>
          <w:iCs/>
          <w:noProof/>
          <w:szCs w:val="24"/>
        </w:rPr>
        <w:t>8</w:t>
      </w:r>
      <w:r w:rsidRPr="00993C92">
        <w:rPr>
          <w:rFonts w:ascii="Calibri" w:hAnsi="Calibri" w:cs="Calibri"/>
          <w:noProof/>
          <w:szCs w:val="24"/>
        </w:rPr>
        <w:t>, 9.</w:t>
      </w:r>
    </w:p>
    <w:p w14:paraId="6A0D7622"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rPr>
        <w:t xml:space="preserve">Pascal, M., Perez-Gordo, M., Caballero, T., Escribese, M.M., Lopez Longo, M.N., Luengo, O., Manso, L., Matheu, V., Seoane, E., Zamorano, M., et al. (2018). Microbiome and Allergic Diseases. Front. Immunol. </w:t>
      </w:r>
      <w:r w:rsidRPr="00993C92">
        <w:rPr>
          <w:rFonts w:ascii="Calibri" w:hAnsi="Calibri" w:cs="Calibri"/>
          <w:i/>
          <w:iCs/>
          <w:noProof/>
          <w:szCs w:val="24"/>
        </w:rPr>
        <w:t>9</w:t>
      </w:r>
      <w:r w:rsidRPr="00993C92">
        <w:rPr>
          <w:rFonts w:ascii="Calibri" w:hAnsi="Calibri" w:cs="Calibri"/>
          <w:noProof/>
          <w:szCs w:val="24"/>
        </w:rPr>
        <w:t>, 1584.</w:t>
      </w:r>
    </w:p>
    <w:p w14:paraId="2179DC1B" w14:textId="3C458013" w:rsidR="00282B43" w:rsidRPr="00993C92" w:rsidRDefault="003864BD"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rPr>
        <w:t>Pedregosa et al. (2011) Scikit-learn: Machine Learning in Python, , JMLR 12, pp. 2825-2830</w:t>
      </w:r>
    </w:p>
    <w:p w14:paraId="5477F4F6"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lang w:val="de-AT"/>
        </w:rPr>
        <w:t xml:space="preserve">Radauer, C., Bublin, M., Wagner, S., Mari, A., and Breiteneder, H. (2008). </w:t>
      </w:r>
      <w:r w:rsidRPr="00993C92">
        <w:rPr>
          <w:rFonts w:ascii="Calibri" w:hAnsi="Calibri" w:cs="Calibri"/>
          <w:noProof/>
          <w:szCs w:val="24"/>
        </w:rPr>
        <w:t xml:space="preserve">Allergens are distributed into few protein families and possess a restricted number of biochemical functions. J. Allergy Clin. Immunol. </w:t>
      </w:r>
      <w:r w:rsidRPr="00993C92">
        <w:rPr>
          <w:rFonts w:ascii="Calibri" w:hAnsi="Calibri" w:cs="Calibri"/>
          <w:i/>
          <w:iCs/>
          <w:noProof/>
          <w:szCs w:val="24"/>
        </w:rPr>
        <w:t>121</w:t>
      </w:r>
      <w:r w:rsidRPr="00993C92">
        <w:rPr>
          <w:rFonts w:ascii="Calibri" w:hAnsi="Calibri" w:cs="Calibri"/>
          <w:noProof/>
          <w:szCs w:val="24"/>
        </w:rPr>
        <w:t>.</w:t>
      </w:r>
    </w:p>
    <w:p w14:paraId="18FD64CD"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rPr>
        <w:t xml:space="preserve">Radauer, C., Nandy, A., Ferreira, F., Goodman, R.E., Larsen, J.N., Lidholm, J., Pomés, A., Raulf-Heimsoth, M., Rozynek, P., Thomas, W.R., et al. (2014). Update of the WHO/IUIS Allergen Nomenclature Database based on analysis of allergen sequences. Allergy Eur. J. Allergy Clin. Immunol. </w:t>
      </w:r>
      <w:r w:rsidRPr="00993C92">
        <w:rPr>
          <w:rFonts w:ascii="Calibri" w:hAnsi="Calibri" w:cs="Calibri"/>
          <w:i/>
          <w:iCs/>
          <w:noProof/>
          <w:szCs w:val="24"/>
        </w:rPr>
        <w:t>69</w:t>
      </w:r>
      <w:r w:rsidRPr="00993C92">
        <w:rPr>
          <w:rFonts w:ascii="Calibri" w:hAnsi="Calibri" w:cs="Calibri"/>
          <w:noProof/>
          <w:szCs w:val="24"/>
        </w:rPr>
        <w:t>, 413–419.</w:t>
      </w:r>
    </w:p>
    <w:p w14:paraId="4C10C15F"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rPr>
        <w:t xml:space="preserve">Sanjuan, M.A., Sagar, D., and Kolbeck, R. (2016). Role of IgE in autoimmunity. J. Allergy Clin. Immunol. </w:t>
      </w:r>
      <w:r w:rsidRPr="00993C92">
        <w:rPr>
          <w:rFonts w:ascii="Calibri" w:hAnsi="Calibri" w:cs="Calibri"/>
          <w:i/>
          <w:iCs/>
          <w:noProof/>
          <w:szCs w:val="24"/>
        </w:rPr>
        <w:t>137</w:t>
      </w:r>
      <w:r w:rsidRPr="00993C92">
        <w:rPr>
          <w:rFonts w:ascii="Calibri" w:hAnsi="Calibri" w:cs="Calibri"/>
          <w:noProof/>
          <w:szCs w:val="24"/>
        </w:rPr>
        <w:t>, 1651–1661.</w:t>
      </w:r>
    </w:p>
    <w:p w14:paraId="39D73C7E"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rPr>
        <w:t xml:space="preserve">Santos, A.F., James, L.K., Bahnson, H.T., Shamji, M.H., Couto-Francisco, N.C., Islam, S., Houghton, S., Clark, A.T., Stephens, A., Turcanu, V., et al. (2015). IgG4 inhibits peanut-induced basophil and mast cell activation in peanut-tolerant children sensitized to peanut major allergens. J. Allergy Clin. Immunol. </w:t>
      </w:r>
      <w:r w:rsidRPr="00993C92">
        <w:rPr>
          <w:rFonts w:ascii="Calibri" w:hAnsi="Calibri" w:cs="Calibri"/>
          <w:i/>
          <w:iCs/>
          <w:noProof/>
          <w:szCs w:val="24"/>
        </w:rPr>
        <w:t>135</w:t>
      </w:r>
      <w:r w:rsidRPr="00993C92">
        <w:rPr>
          <w:rFonts w:ascii="Calibri" w:hAnsi="Calibri" w:cs="Calibri"/>
          <w:noProof/>
          <w:szCs w:val="24"/>
        </w:rPr>
        <w:t>, 1249–1256.</w:t>
      </w:r>
    </w:p>
    <w:p w14:paraId="11388598"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rPr>
        <w:t xml:space="preserve">Satitsuksanoa, P., Daanje, M., Akdis, M., Boyd, S.D., and van de Veen, W. (2021). Biology and dynamics of B cells in the context of IgE-mediated food allergy. Allergy </w:t>
      </w:r>
      <w:r w:rsidRPr="00993C92">
        <w:rPr>
          <w:rFonts w:ascii="Calibri" w:hAnsi="Calibri" w:cs="Calibri"/>
          <w:i/>
          <w:iCs/>
          <w:noProof/>
          <w:szCs w:val="24"/>
        </w:rPr>
        <w:t>76</w:t>
      </w:r>
      <w:r w:rsidRPr="00993C92">
        <w:rPr>
          <w:rFonts w:ascii="Calibri" w:hAnsi="Calibri" w:cs="Calibri"/>
          <w:noProof/>
          <w:szCs w:val="24"/>
        </w:rPr>
        <w:t>, 1707–1717.</w:t>
      </w:r>
    </w:p>
    <w:p w14:paraId="4069C733"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rPr>
        <w:t xml:space="preserve">Saunders, S.P., Ma, E.G.M., Aranda, C.J., and Curotto de Lafaille, M.A. (2019). Non-classical B Cell Memory of Allergic IgE Responses. Front. Immunol. </w:t>
      </w:r>
      <w:r w:rsidRPr="00993C92">
        <w:rPr>
          <w:rFonts w:ascii="Calibri" w:hAnsi="Calibri" w:cs="Calibri"/>
          <w:i/>
          <w:iCs/>
          <w:noProof/>
          <w:szCs w:val="24"/>
        </w:rPr>
        <w:t>10</w:t>
      </w:r>
      <w:r w:rsidRPr="00993C92">
        <w:rPr>
          <w:rFonts w:ascii="Calibri" w:hAnsi="Calibri" w:cs="Calibri"/>
          <w:noProof/>
          <w:szCs w:val="24"/>
        </w:rPr>
        <w:t>, 715.</w:t>
      </w:r>
    </w:p>
    <w:p w14:paraId="350BC519"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rPr>
        <w:t xml:space="preserve">Schroeder, H.W., and Cavacini, L. (2010). Structure and function of immunoglobulins. J. Allergy Clin. Immunol. </w:t>
      </w:r>
      <w:r w:rsidRPr="00993C92">
        <w:rPr>
          <w:rFonts w:ascii="Calibri" w:hAnsi="Calibri" w:cs="Calibri"/>
          <w:i/>
          <w:iCs/>
          <w:noProof/>
          <w:szCs w:val="24"/>
        </w:rPr>
        <w:t>125</w:t>
      </w:r>
      <w:r w:rsidRPr="00993C92">
        <w:rPr>
          <w:rFonts w:ascii="Calibri" w:hAnsi="Calibri" w:cs="Calibri"/>
          <w:noProof/>
          <w:szCs w:val="24"/>
        </w:rPr>
        <w:t>, S41–S52.</w:t>
      </w:r>
    </w:p>
    <w:p w14:paraId="1F951432"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rPr>
        <w:t xml:space="preserve">Shrock, E., Fujimura, E., Kula, T., Timms, R.T., Lee, I., Leng, Y., Robinson, M.L., Sie, B.M., Li, M.Z., Chen, Y., et al. (2020). Viral epitope profiling of COVID-19 patients reveals cross-reactivity and correlates of severity. Science </w:t>
      </w:r>
      <w:r w:rsidRPr="00993C92">
        <w:rPr>
          <w:rFonts w:ascii="Calibri" w:hAnsi="Calibri" w:cs="Calibri"/>
          <w:i/>
          <w:iCs/>
          <w:noProof/>
          <w:szCs w:val="24"/>
        </w:rPr>
        <w:t>370</w:t>
      </w:r>
      <w:r w:rsidRPr="00993C92">
        <w:rPr>
          <w:rFonts w:ascii="Calibri" w:hAnsi="Calibri" w:cs="Calibri"/>
          <w:noProof/>
          <w:szCs w:val="24"/>
        </w:rPr>
        <w:t>, 1–23.</w:t>
      </w:r>
    </w:p>
    <w:p w14:paraId="353479E9"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rPr>
        <w:t xml:space="preserve">Siebenga, J.J., Vennema, H., Zheng, D.-P., Vinjé, J., Lee, B.E., Pang, X.-L., Ho, E.C.M., Lim, W., Choudekar, A., Broor, S., et al. (2009). Norovirus illness is a global problem: emergence and spread of norovirus GII.4 variants, 2001-2007. J. Infect. Dis. </w:t>
      </w:r>
      <w:r w:rsidRPr="00993C92">
        <w:rPr>
          <w:rFonts w:ascii="Calibri" w:hAnsi="Calibri" w:cs="Calibri"/>
          <w:i/>
          <w:iCs/>
          <w:noProof/>
          <w:szCs w:val="24"/>
        </w:rPr>
        <w:t>200</w:t>
      </w:r>
      <w:r w:rsidRPr="00993C92">
        <w:rPr>
          <w:rFonts w:ascii="Calibri" w:hAnsi="Calibri" w:cs="Calibri"/>
          <w:noProof/>
          <w:szCs w:val="24"/>
        </w:rPr>
        <w:t>, 802–812.</w:t>
      </w:r>
    </w:p>
    <w:p w14:paraId="3935BEE1"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rPr>
        <w:t xml:space="preserve">Smoldovskaya, O., Feyzkhanova, G., Voloshin, S., Arefieva, A., Chubarova, A., Pavlushkina, L., Filatova, T., Antonova, E., Timofeeva, E., Butvilovskaya, V., et al. (2018). Allergen-specific IgE and IgG4 patterns among patients with different allergic diseases. World Allergy Organ. J. </w:t>
      </w:r>
      <w:r w:rsidRPr="00993C92">
        <w:rPr>
          <w:rFonts w:ascii="Calibri" w:hAnsi="Calibri" w:cs="Calibri"/>
          <w:i/>
          <w:iCs/>
          <w:noProof/>
          <w:szCs w:val="24"/>
        </w:rPr>
        <w:t>11</w:t>
      </w:r>
      <w:r w:rsidRPr="00993C92">
        <w:rPr>
          <w:rFonts w:ascii="Calibri" w:hAnsi="Calibri" w:cs="Calibri"/>
          <w:noProof/>
          <w:szCs w:val="24"/>
        </w:rPr>
        <w:t>, 35.</w:t>
      </w:r>
    </w:p>
    <w:p w14:paraId="5DE89268"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rPr>
        <w:t xml:space="preserve">Spitzer, M., Wildenhain, J., Rappsilber, J., and Tyers, M. (2014). BoxPlotR: a web tool for generation of box plots. Nat. Methods </w:t>
      </w:r>
      <w:r w:rsidRPr="00993C92">
        <w:rPr>
          <w:rFonts w:ascii="Calibri" w:hAnsi="Calibri" w:cs="Calibri"/>
          <w:i/>
          <w:iCs/>
          <w:noProof/>
          <w:szCs w:val="24"/>
        </w:rPr>
        <w:t>11</w:t>
      </w:r>
      <w:r w:rsidRPr="00993C92">
        <w:rPr>
          <w:rFonts w:ascii="Calibri" w:hAnsi="Calibri" w:cs="Calibri"/>
          <w:noProof/>
          <w:szCs w:val="24"/>
        </w:rPr>
        <w:t>, 121–122.</w:t>
      </w:r>
    </w:p>
    <w:p w14:paraId="3E45835D"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rPr>
        <w:t xml:space="preserve">Stapel, S.O., Asero, R., Ballmer-Weber, B.K., Knol, E.F., Strobel, S., Vieths, S., and Kleine-Tebbe, J. (2008). Testing for IgG4 against foods is not recommended as a diagnostic tool: EAACI Task Force Report. Allergy Eur. J. Allergy Clin. Immunol. </w:t>
      </w:r>
      <w:r w:rsidRPr="00993C92">
        <w:rPr>
          <w:rFonts w:ascii="Calibri" w:hAnsi="Calibri" w:cs="Calibri"/>
          <w:i/>
          <w:iCs/>
          <w:noProof/>
          <w:szCs w:val="24"/>
        </w:rPr>
        <w:t>63</w:t>
      </w:r>
      <w:r w:rsidRPr="00993C92">
        <w:rPr>
          <w:rFonts w:ascii="Calibri" w:hAnsi="Calibri" w:cs="Calibri"/>
          <w:noProof/>
          <w:szCs w:val="24"/>
        </w:rPr>
        <w:t>, 793–796.</w:t>
      </w:r>
    </w:p>
    <w:p w14:paraId="0BCD49A0"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rPr>
        <w:t xml:space="preserve">Stephen-Victor, E., Crestani, E., and Chatila, T.A. (2020). Dietary and Microbial Determinants in Food Allergy. Immunity </w:t>
      </w:r>
      <w:r w:rsidRPr="00993C92">
        <w:rPr>
          <w:rFonts w:ascii="Calibri" w:hAnsi="Calibri" w:cs="Calibri"/>
          <w:i/>
          <w:iCs/>
          <w:noProof/>
          <w:szCs w:val="24"/>
        </w:rPr>
        <w:t>53</w:t>
      </w:r>
      <w:r w:rsidRPr="00993C92">
        <w:rPr>
          <w:rFonts w:ascii="Calibri" w:hAnsi="Calibri" w:cs="Calibri"/>
          <w:noProof/>
          <w:szCs w:val="24"/>
        </w:rPr>
        <w:t>, 277–289.</w:t>
      </w:r>
    </w:p>
    <w:p w14:paraId="5D8E3380" w14:textId="45ED3D0A"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rPr>
        <w:t xml:space="preserve">Tordesillas, L., Berin, M.C., and Sampson, H.A. (2017). Immunology of Food Allergy. Immunity </w:t>
      </w:r>
      <w:r w:rsidRPr="00993C92">
        <w:rPr>
          <w:rFonts w:ascii="Calibri" w:hAnsi="Calibri" w:cs="Calibri"/>
          <w:i/>
          <w:iCs/>
          <w:noProof/>
          <w:szCs w:val="24"/>
        </w:rPr>
        <w:t>47</w:t>
      </w:r>
      <w:r w:rsidRPr="00993C92">
        <w:rPr>
          <w:rFonts w:ascii="Calibri" w:hAnsi="Calibri" w:cs="Calibri"/>
          <w:noProof/>
          <w:szCs w:val="24"/>
        </w:rPr>
        <w:t>, 32–50.</w:t>
      </w:r>
    </w:p>
    <w:p w14:paraId="394B798E" w14:textId="42C75C6F" w:rsidR="006A7147" w:rsidRPr="00993C92" w:rsidRDefault="006A7147" w:rsidP="00282B43">
      <w:pPr>
        <w:widowControl w:val="0"/>
        <w:autoSpaceDE w:val="0"/>
        <w:autoSpaceDN w:val="0"/>
        <w:adjustRightInd w:val="0"/>
        <w:spacing w:line="240" w:lineRule="auto"/>
        <w:rPr>
          <w:rFonts w:ascii="Calibri" w:hAnsi="Calibri" w:cs="Calibri"/>
          <w:noProof/>
          <w:szCs w:val="24"/>
        </w:rPr>
      </w:pPr>
      <w:r w:rsidRPr="00993C92">
        <w:rPr>
          <w:rStyle w:val="fontstyle01"/>
        </w:rPr>
        <w:t>USDA ERS (2022) U.S. Department of Agriculture, Economic Research Service,</w:t>
      </w:r>
      <w:r w:rsidRPr="00993C92">
        <w:rPr>
          <w:rFonts w:ascii="Calibri" w:hAnsi="Calibri" w:cs="Calibri"/>
          <w:color w:val="000000"/>
        </w:rPr>
        <w:br/>
      </w:r>
      <w:r w:rsidRPr="00993C92">
        <w:rPr>
          <w:rStyle w:val="fontstyle01"/>
        </w:rPr>
        <w:t>945 https://www.ers.usda.gov/Data/FoodConsumption/, accessed 30.08.2022</w:t>
      </w:r>
    </w:p>
    <w:p w14:paraId="335A8E11"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rPr>
        <w:t xml:space="preserve">Vazquez-Ortiz, M., Pascal, M., Juan, M., Alsina, L., Martín-Mateos, M.A., and Plaza, A.M. (2013). Serum allergen-specific IgA is not associated with natural or induced tolerance to egg in children. Allergy </w:t>
      </w:r>
      <w:r w:rsidRPr="00993C92">
        <w:rPr>
          <w:rFonts w:ascii="Calibri" w:hAnsi="Calibri" w:cs="Calibri"/>
          <w:i/>
          <w:iCs/>
          <w:noProof/>
          <w:szCs w:val="24"/>
        </w:rPr>
        <w:t>68</w:t>
      </w:r>
      <w:r w:rsidRPr="00993C92">
        <w:rPr>
          <w:rFonts w:ascii="Calibri" w:hAnsi="Calibri" w:cs="Calibri"/>
          <w:noProof/>
          <w:szCs w:val="24"/>
        </w:rPr>
        <w:t>, 1327–1332.</w:t>
      </w:r>
    </w:p>
    <w:p w14:paraId="3408F07A"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rPr>
        <w:t xml:space="preserve">Venkataraman, T., Valencia, C., Mangino, M., Morgenlander, W., Clipman, S.J., Liechti, T., Valencia, A., Christofidou, P., Spector, T., Roederer, M., et al. (2022). Analysis of antibody binding specificities in twin and SNP-genotyped cohorts reveals that antiviral antibody epitope selection is a heritable trait. Immunity </w:t>
      </w:r>
      <w:r w:rsidRPr="00993C92">
        <w:rPr>
          <w:rFonts w:ascii="Calibri" w:hAnsi="Calibri" w:cs="Calibri"/>
          <w:i/>
          <w:iCs/>
          <w:noProof/>
          <w:szCs w:val="24"/>
        </w:rPr>
        <w:t>55</w:t>
      </w:r>
      <w:r w:rsidRPr="00993C92">
        <w:rPr>
          <w:rFonts w:ascii="Calibri" w:hAnsi="Calibri" w:cs="Calibri"/>
          <w:noProof/>
          <w:szCs w:val="24"/>
        </w:rPr>
        <w:t>, 174-184.e5.</w:t>
      </w:r>
    </w:p>
    <w:p w14:paraId="55FE4B0A"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rPr>
        <w:t xml:space="preserve">Vita, R., Overton, J.A., Greenbaum, J.A., Ponomarenko, J., Clark, J.D., Cantrell, J.R., Wheeler, D.K., Gabbard, J.L., Hix, D., Sette, A., et al. (2015). The immune epitope database (IEDB) 3.0. Nucleic Acids Res. </w:t>
      </w:r>
      <w:r w:rsidRPr="00993C92">
        <w:rPr>
          <w:rFonts w:ascii="Calibri" w:hAnsi="Calibri" w:cs="Calibri"/>
          <w:i/>
          <w:iCs/>
          <w:noProof/>
          <w:szCs w:val="24"/>
        </w:rPr>
        <w:t>43</w:t>
      </w:r>
      <w:r w:rsidRPr="00993C92">
        <w:rPr>
          <w:rFonts w:ascii="Calibri" w:hAnsi="Calibri" w:cs="Calibri"/>
          <w:noProof/>
          <w:szCs w:val="24"/>
        </w:rPr>
        <w:t>, D405–D412.</w:t>
      </w:r>
    </w:p>
    <w:p w14:paraId="1791ACDB"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rPr>
        <w:t xml:space="preserve">Vogl, T., Klompus, S., Leviatan, S., Kalka, I.N., Weinberger, A., Wijmenga, C., Fu, J., Zhernakova, A., Weersma, R.K., and Segal, E. (2021). Population-wide diversity and stability of serum antibody epitope repertoires against human microbiota. Nat. Med. </w:t>
      </w:r>
      <w:r w:rsidRPr="00993C92">
        <w:rPr>
          <w:rFonts w:ascii="Calibri" w:hAnsi="Calibri" w:cs="Calibri"/>
          <w:i/>
          <w:iCs/>
          <w:noProof/>
          <w:szCs w:val="24"/>
        </w:rPr>
        <w:t>27</w:t>
      </w:r>
      <w:r w:rsidRPr="00993C92">
        <w:rPr>
          <w:rFonts w:ascii="Calibri" w:hAnsi="Calibri" w:cs="Calibri"/>
          <w:noProof/>
          <w:szCs w:val="24"/>
        </w:rPr>
        <w:t>, 1442–1450.</w:t>
      </w:r>
    </w:p>
    <w:p w14:paraId="4AA10874"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rPr>
        <w:t>Vojdani, A., Gushgari, L.R., and Vojdani, E. (2020). Interaction between food antigens and the immune system: Association with autoimmune disorders. (Elsevier B.V).</w:t>
      </w:r>
    </w:p>
    <w:p w14:paraId="1ECE1B24"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rPr>
        <w:t xml:space="preserve">van der Windt, D.A.W.M., Jellema, P., Mulder, C.J., Kneepkens, C.M.F., and van der Horst, H.E. (2010). Diagnostic Testing for Celiac Disease Among Patients With Abdominal Symptoms. JAMA </w:t>
      </w:r>
      <w:r w:rsidRPr="00993C92">
        <w:rPr>
          <w:rFonts w:ascii="Calibri" w:hAnsi="Calibri" w:cs="Calibri"/>
          <w:i/>
          <w:iCs/>
          <w:noProof/>
          <w:szCs w:val="24"/>
        </w:rPr>
        <w:t>303</w:t>
      </w:r>
      <w:r w:rsidRPr="00993C92">
        <w:rPr>
          <w:rFonts w:ascii="Calibri" w:hAnsi="Calibri" w:cs="Calibri"/>
          <w:noProof/>
          <w:szCs w:val="24"/>
        </w:rPr>
        <w:t>, 1738.</w:t>
      </w:r>
    </w:p>
    <w:p w14:paraId="63F3F51D"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rPr>
        <w:t xml:space="preserve">Wu, D., Lewis, E.D., Pae, M., and Meydani, S.N. (2018). Nutritional Modulation of Immune Function: Analysis of Evidence, Mechanisms, and Clinical Relevance. Front. Immunol. </w:t>
      </w:r>
      <w:r w:rsidRPr="00993C92">
        <w:rPr>
          <w:rFonts w:ascii="Calibri" w:hAnsi="Calibri" w:cs="Calibri"/>
          <w:i/>
          <w:iCs/>
          <w:noProof/>
          <w:szCs w:val="24"/>
        </w:rPr>
        <w:t>9</w:t>
      </w:r>
      <w:r w:rsidRPr="00993C92">
        <w:rPr>
          <w:rFonts w:ascii="Calibri" w:hAnsi="Calibri" w:cs="Calibri"/>
          <w:noProof/>
          <w:szCs w:val="24"/>
        </w:rPr>
        <w:t>, 3160.</w:t>
      </w:r>
    </w:p>
    <w:p w14:paraId="210F4CDA"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rPr>
        <w:t xml:space="preserve">Xiong, H., Dolpady, J., Wabl, M., Curotto de Lafaille, M.A., and Lafaille, J.J. (2012). Sequential class switching is required for the generation of high affinity IgE antibodies. J. Exp. Med. </w:t>
      </w:r>
      <w:r w:rsidRPr="00993C92">
        <w:rPr>
          <w:rFonts w:ascii="Calibri" w:hAnsi="Calibri" w:cs="Calibri"/>
          <w:i/>
          <w:iCs/>
          <w:noProof/>
          <w:szCs w:val="24"/>
        </w:rPr>
        <w:t>209</w:t>
      </w:r>
      <w:r w:rsidRPr="00993C92">
        <w:rPr>
          <w:rFonts w:ascii="Calibri" w:hAnsi="Calibri" w:cs="Calibri"/>
          <w:noProof/>
          <w:szCs w:val="24"/>
        </w:rPr>
        <w:t>, 353–364.</w:t>
      </w:r>
    </w:p>
    <w:p w14:paraId="63040F93"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rPr>
        <w:t xml:space="preserve">Xu, G.J., Kula, T., Xu, Q., Li, M.Z., Vernon, S.D., Ndung’u, T., Ruxrungtham, K., Sanchez, J., Brander, C., Chung, R.T., et al. (2015). Viral immunology. Comprehensive serological profiling of human populations using a synthetic human virome. Science </w:t>
      </w:r>
      <w:r w:rsidRPr="00993C92">
        <w:rPr>
          <w:rFonts w:ascii="Calibri" w:hAnsi="Calibri" w:cs="Calibri"/>
          <w:i/>
          <w:iCs/>
          <w:noProof/>
          <w:szCs w:val="24"/>
        </w:rPr>
        <w:t>348</w:t>
      </w:r>
      <w:r w:rsidRPr="00993C92">
        <w:rPr>
          <w:rFonts w:ascii="Calibri" w:hAnsi="Calibri" w:cs="Calibri"/>
          <w:noProof/>
          <w:szCs w:val="24"/>
        </w:rPr>
        <w:t>, aaa0698.</w:t>
      </w:r>
    </w:p>
    <w:p w14:paraId="2DD66613"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rPr>
        <w:t xml:space="preserve">Yu, W., Freeland, D.M.H., and Nadeau, K.C. (2016). Food allergy: immune mechanisms, diagnosis and immunotherapy. Nat. Rev. Immunol. </w:t>
      </w:r>
      <w:r w:rsidRPr="00993C92">
        <w:rPr>
          <w:rFonts w:ascii="Calibri" w:hAnsi="Calibri" w:cs="Calibri"/>
          <w:i/>
          <w:iCs/>
          <w:noProof/>
          <w:szCs w:val="24"/>
        </w:rPr>
        <w:t>16</w:t>
      </w:r>
      <w:r w:rsidRPr="00993C92">
        <w:rPr>
          <w:rFonts w:ascii="Calibri" w:hAnsi="Calibri" w:cs="Calibri"/>
          <w:noProof/>
          <w:szCs w:val="24"/>
        </w:rPr>
        <w:t>, 751–765.</w:t>
      </w:r>
    </w:p>
    <w:p w14:paraId="1516C16B"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rPr>
        <w:t xml:space="preserve">Zeevi, D., Korem, T., Zmora, N., Israeli, D., Rothschild, D., Weinberger, A., Ben-Yacov, O., Lador, D., Avnit-Sagi, T., Lotan-Pompan, M., et al. (2015). Personalized Nutrition by Prediction of Glycemic Responses. Cell </w:t>
      </w:r>
      <w:r w:rsidRPr="00993C92">
        <w:rPr>
          <w:rFonts w:ascii="Calibri" w:hAnsi="Calibri" w:cs="Calibri"/>
          <w:i/>
          <w:iCs/>
          <w:noProof/>
          <w:szCs w:val="24"/>
        </w:rPr>
        <w:t>163</w:t>
      </w:r>
      <w:r w:rsidRPr="00993C92">
        <w:rPr>
          <w:rFonts w:ascii="Calibri" w:hAnsi="Calibri" w:cs="Calibri"/>
          <w:noProof/>
          <w:szCs w:val="24"/>
        </w:rPr>
        <w:t>, 1079–1094.</w:t>
      </w:r>
    </w:p>
    <w:p w14:paraId="2506E989" w14:textId="77777777" w:rsidR="00282B43" w:rsidRPr="00993C92" w:rsidRDefault="00282B43" w:rsidP="00282B43">
      <w:pPr>
        <w:widowControl w:val="0"/>
        <w:autoSpaceDE w:val="0"/>
        <w:autoSpaceDN w:val="0"/>
        <w:adjustRightInd w:val="0"/>
        <w:spacing w:line="240" w:lineRule="auto"/>
        <w:rPr>
          <w:rFonts w:ascii="Calibri" w:hAnsi="Calibri" w:cs="Calibri"/>
          <w:noProof/>
          <w:szCs w:val="24"/>
        </w:rPr>
      </w:pPr>
      <w:r w:rsidRPr="00993C92">
        <w:rPr>
          <w:rFonts w:ascii="Calibri" w:hAnsi="Calibri" w:cs="Calibri"/>
          <w:noProof/>
          <w:szCs w:val="24"/>
        </w:rPr>
        <w:t xml:space="preserve">Zeng, M.Y., Cisalpino, D., Varadarajan, S., Hellman, J., Warren, H.S., Cascalho, M., Inohara, N., and Núñez, G. (2016). Gut Microbiota-Induced Immunoglobulin G Controls Systemic Infection by Symbiotic Bacteria and Pathogens. Immunity </w:t>
      </w:r>
      <w:r w:rsidRPr="00993C92">
        <w:rPr>
          <w:rFonts w:ascii="Calibri" w:hAnsi="Calibri" w:cs="Calibri"/>
          <w:i/>
          <w:iCs/>
          <w:noProof/>
          <w:szCs w:val="24"/>
        </w:rPr>
        <w:t>44</w:t>
      </w:r>
      <w:r w:rsidRPr="00993C92">
        <w:rPr>
          <w:rFonts w:ascii="Calibri" w:hAnsi="Calibri" w:cs="Calibri"/>
          <w:noProof/>
          <w:szCs w:val="24"/>
        </w:rPr>
        <w:t>, 647–658.</w:t>
      </w:r>
    </w:p>
    <w:p w14:paraId="59168E38" w14:textId="7A9F32EF" w:rsidR="00523F86" w:rsidRPr="00993C92" w:rsidRDefault="00282B43" w:rsidP="00C72250">
      <w:pPr>
        <w:widowControl w:val="0"/>
        <w:autoSpaceDE w:val="0"/>
        <w:autoSpaceDN w:val="0"/>
        <w:adjustRightInd w:val="0"/>
        <w:spacing w:line="240" w:lineRule="auto"/>
        <w:rPr>
          <w:color w:val="000000" w:themeColor="text1"/>
        </w:rPr>
      </w:pPr>
      <w:r w:rsidRPr="00993C92">
        <w:rPr>
          <w:rFonts w:ascii="Calibri" w:hAnsi="Calibri" w:cs="Calibri"/>
          <w:noProof/>
          <w:szCs w:val="24"/>
        </w:rPr>
        <w:t xml:space="preserve">Zhang, B., Liu, E., Gertie, J.A., Joseph, J., Xu, L., Pinker, E.Y., Waizman, D.A., Catanzaro, J., Hamza, K.H., Lahl, K., et al. (2020). Divergent T follicular helper cell requirement for IgA and IgE production to peanut during allergic sensitization. Sci. Immunol. </w:t>
      </w:r>
      <w:r w:rsidRPr="00993C92">
        <w:rPr>
          <w:rFonts w:ascii="Calibri" w:hAnsi="Calibri" w:cs="Calibri"/>
          <w:i/>
          <w:iCs/>
          <w:noProof/>
          <w:szCs w:val="24"/>
        </w:rPr>
        <w:t>5</w:t>
      </w:r>
      <w:r w:rsidRPr="00993C92">
        <w:rPr>
          <w:rFonts w:ascii="Calibri" w:hAnsi="Calibri" w:cs="Calibri"/>
          <w:noProof/>
          <w:szCs w:val="24"/>
        </w:rPr>
        <w:t>, 64–70.</w:t>
      </w:r>
    </w:p>
    <w:sectPr w:rsidR="00523F86" w:rsidRPr="00993C92" w:rsidSect="009F2FE3">
      <w:footerReference w:type="default" r:id="rId8"/>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7317F" w14:textId="77777777" w:rsidR="00C07736" w:rsidRDefault="00C07736" w:rsidP="008C32E4">
      <w:pPr>
        <w:spacing w:after="0" w:line="240" w:lineRule="auto"/>
      </w:pPr>
      <w:r>
        <w:separator/>
      </w:r>
    </w:p>
  </w:endnote>
  <w:endnote w:type="continuationSeparator" w:id="0">
    <w:p w14:paraId="0820E314" w14:textId="77777777" w:rsidR="00C07736" w:rsidRDefault="00C07736" w:rsidP="008C3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MT">
    <w:altName w:val="Cambria"/>
    <w:panose1 w:val="00000000000000000000"/>
    <w:charset w:val="00"/>
    <w:family w:val="roman"/>
    <w:notTrueType/>
    <w:pitch w:val="default"/>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050081"/>
      <w:docPartObj>
        <w:docPartGallery w:val="Page Numbers (Bottom of Page)"/>
        <w:docPartUnique/>
      </w:docPartObj>
    </w:sdtPr>
    <w:sdtContent>
      <w:sdt>
        <w:sdtPr>
          <w:id w:val="1728636285"/>
          <w:docPartObj>
            <w:docPartGallery w:val="Page Numbers (Top of Page)"/>
            <w:docPartUnique/>
          </w:docPartObj>
        </w:sdtPr>
        <w:sdtContent>
          <w:p w14:paraId="2F943051" w14:textId="3339EE58" w:rsidR="008C32E4" w:rsidRDefault="008C32E4" w:rsidP="008C32E4">
            <w:pPr>
              <w:pStyle w:val="Footer"/>
              <w:jc w:val="center"/>
            </w:pPr>
            <w:r w:rsidRPr="008C32E4">
              <w:rPr>
                <w:sz w:val="20"/>
                <w:szCs w:val="20"/>
              </w:rPr>
              <w:fldChar w:fldCharType="begin"/>
            </w:r>
            <w:r w:rsidRPr="008C32E4">
              <w:rPr>
                <w:sz w:val="20"/>
                <w:szCs w:val="20"/>
              </w:rPr>
              <w:instrText xml:space="preserve"> PAGE </w:instrText>
            </w:r>
            <w:r w:rsidRPr="008C32E4">
              <w:rPr>
                <w:sz w:val="20"/>
                <w:szCs w:val="20"/>
              </w:rPr>
              <w:fldChar w:fldCharType="separate"/>
            </w:r>
            <w:r w:rsidRPr="008C32E4">
              <w:rPr>
                <w:noProof/>
                <w:sz w:val="20"/>
                <w:szCs w:val="20"/>
              </w:rPr>
              <w:t>2</w:t>
            </w:r>
            <w:r w:rsidRPr="008C32E4">
              <w:rPr>
                <w:sz w:val="20"/>
                <w:szCs w:val="20"/>
              </w:rPr>
              <w:fldChar w:fldCharType="end"/>
            </w:r>
            <w:r w:rsidRPr="008C32E4">
              <w:rPr>
                <w:sz w:val="20"/>
                <w:szCs w:val="20"/>
              </w:rPr>
              <w:t>/</w:t>
            </w:r>
            <w:r w:rsidRPr="008C32E4">
              <w:rPr>
                <w:sz w:val="20"/>
                <w:szCs w:val="20"/>
              </w:rPr>
              <w:fldChar w:fldCharType="begin"/>
            </w:r>
            <w:r w:rsidRPr="008C32E4">
              <w:rPr>
                <w:sz w:val="20"/>
                <w:szCs w:val="20"/>
              </w:rPr>
              <w:instrText xml:space="preserve"> NUMPAGES  </w:instrText>
            </w:r>
            <w:r w:rsidRPr="008C32E4">
              <w:rPr>
                <w:sz w:val="20"/>
                <w:szCs w:val="20"/>
              </w:rPr>
              <w:fldChar w:fldCharType="separate"/>
            </w:r>
            <w:r w:rsidRPr="008C32E4">
              <w:rPr>
                <w:noProof/>
                <w:sz w:val="20"/>
                <w:szCs w:val="20"/>
              </w:rPr>
              <w:t>2</w:t>
            </w:r>
            <w:r w:rsidRPr="008C32E4">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D0781" w14:textId="77777777" w:rsidR="00C07736" w:rsidRDefault="00C07736" w:rsidP="008C32E4">
      <w:pPr>
        <w:spacing w:after="0" w:line="240" w:lineRule="auto"/>
      </w:pPr>
      <w:r>
        <w:separator/>
      </w:r>
    </w:p>
  </w:footnote>
  <w:footnote w:type="continuationSeparator" w:id="0">
    <w:p w14:paraId="3E502FA8" w14:textId="77777777" w:rsidR="00C07736" w:rsidRDefault="00C07736" w:rsidP="008C32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10CD"/>
    <w:multiLevelType w:val="hybridMultilevel"/>
    <w:tmpl w:val="9760BDB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 w15:restartNumberingAfterBreak="0">
    <w:nsid w:val="06620BD4"/>
    <w:multiLevelType w:val="hybridMultilevel"/>
    <w:tmpl w:val="0D641E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846054B"/>
    <w:multiLevelType w:val="hybridMultilevel"/>
    <w:tmpl w:val="43962FE8"/>
    <w:lvl w:ilvl="0" w:tplc="DC98772C">
      <w:start w:val="13"/>
      <w:numFmt w:val="bullet"/>
      <w:lvlText w:val=""/>
      <w:lvlJc w:val="left"/>
      <w:pPr>
        <w:ind w:left="720" w:hanging="360"/>
      </w:pPr>
      <w:rPr>
        <w:rFonts w:ascii="Wingdings" w:eastAsiaTheme="minorHAnsi" w:hAnsi="Wingdings"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9B219E9"/>
    <w:multiLevelType w:val="hybridMultilevel"/>
    <w:tmpl w:val="8E5A8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50755"/>
    <w:multiLevelType w:val="hybridMultilevel"/>
    <w:tmpl w:val="10FE20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1314561"/>
    <w:multiLevelType w:val="hybridMultilevel"/>
    <w:tmpl w:val="C6C86B84"/>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5A33E9A"/>
    <w:multiLevelType w:val="hybridMultilevel"/>
    <w:tmpl w:val="23F017CE"/>
    <w:lvl w:ilvl="0" w:tplc="F34C6BC6">
      <w:numFmt w:val="bullet"/>
      <w:lvlText w:val=""/>
      <w:lvlJc w:val="left"/>
      <w:pPr>
        <w:ind w:left="720" w:hanging="360"/>
      </w:pPr>
      <w:rPr>
        <w:rFonts w:ascii="Wingdings" w:eastAsiaTheme="minorHAnsi" w:hAnsi="Wingdings"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6723C7A"/>
    <w:multiLevelType w:val="hybridMultilevel"/>
    <w:tmpl w:val="02409D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9D523F8"/>
    <w:multiLevelType w:val="hybridMultilevel"/>
    <w:tmpl w:val="32C4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914615"/>
    <w:multiLevelType w:val="hybridMultilevel"/>
    <w:tmpl w:val="BDA63F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BCB6752"/>
    <w:multiLevelType w:val="hybridMultilevel"/>
    <w:tmpl w:val="880246E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ACCA5788">
      <w:numFmt w:val="bullet"/>
      <w:lvlText w:val=""/>
      <w:lvlJc w:val="left"/>
      <w:pPr>
        <w:ind w:left="2880" w:hanging="360"/>
      </w:pPr>
      <w:rPr>
        <w:rFonts w:ascii="Wingdings" w:eastAsiaTheme="minorHAnsi" w:hAnsi="Wingdings" w:cstheme="minorBidi"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E9C6F4B"/>
    <w:multiLevelType w:val="hybridMultilevel"/>
    <w:tmpl w:val="9B36166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FC802C1"/>
    <w:multiLevelType w:val="hybridMultilevel"/>
    <w:tmpl w:val="A0486C44"/>
    <w:lvl w:ilvl="0" w:tplc="EAAE9836">
      <w:start w:val="1"/>
      <w:numFmt w:val="bullet"/>
      <w:lvlText w:val="•"/>
      <w:lvlJc w:val="left"/>
      <w:pPr>
        <w:tabs>
          <w:tab w:val="num" w:pos="720"/>
        </w:tabs>
        <w:ind w:left="720" w:hanging="360"/>
      </w:pPr>
      <w:rPr>
        <w:rFonts w:ascii="Arial" w:hAnsi="Arial" w:hint="default"/>
      </w:rPr>
    </w:lvl>
    <w:lvl w:ilvl="1" w:tplc="B3D23074">
      <w:numFmt w:val="bullet"/>
      <w:lvlText w:val="•"/>
      <w:lvlJc w:val="left"/>
      <w:pPr>
        <w:tabs>
          <w:tab w:val="num" w:pos="1440"/>
        </w:tabs>
        <w:ind w:left="1440" w:hanging="360"/>
      </w:pPr>
      <w:rPr>
        <w:rFonts w:ascii="Arial" w:hAnsi="Arial" w:hint="default"/>
      </w:rPr>
    </w:lvl>
    <w:lvl w:ilvl="2" w:tplc="1B20F214">
      <w:numFmt w:val="bullet"/>
      <w:lvlText w:val="•"/>
      <w:lvlJc w:val="left"/>
      <w:pPr>
        <w:tabs>
          <w:tab w:val="num" w:pos="2160"/>
        </w:tabs>
        <w:ind w:left="2160" w:hanging="360"/>
      </w:pPr>
      <w:rPr>
        <w:rFonts w:ascii="Arial" w:hAnsi="Arial" w:hint="default"/>
      </w:rPr>
    </w:lvl>
    <w:lvl w:ilvl="3" w:tplc="89609D94">
      <w:numFmt w:val="bullet"/>
      <w:lvlText w:val="•"/>
      <w:lvlJc w:val="left"/>
      <w:pPr>
        <w:tabs>
          <w:tab w:val="num" w:pos="2880"/>
        </w:tabs>
        <w:ind w:left="2880" w:hanging="360"/>
      </w:pPr>
      <w:rPr>
        <w:rFonts w:ascii="Arial" w:hAnsi="Arial" w:hint="default"/>
      </w:rPr>
    </w:lvl>
    <w:lvl w:ilvl="4" w:tplc="C53C020C" w:tentative="1">
      <w:start w:val="1"/>
      <w:numFmt w:val="bullet"/>
      <w:lvlText w:val="•"/>
      <w:lvlJc w:val="left"/>
      <w:pPr>
        <w:tabs>
          <w:tab w:val="num" w:pos="3600"/>
        </w:tabs>
        <w:ind w:left="3600" w:hanging="360"/>
      </w:pPr>
      <w:rPr>
        <w:rFonts w:ascii="Arial" w:hAnsi="Arial" w:hint="default"/>
      </w:rPr>
    </w:lvl>
    <w:lvl w:ilvl="5" w:tplc="ECBA3DF8" w:tentative="1">
      <w:start w:val="1"/>
      <w:numFmt w:val="bullet"/>
      <w:lvlText w:val="•"/>
      <w:lvlJc w:val="left"/>
      <w:pPr>
        <w:tabs>
          <w:tab w:val="num" w:pos="4320"/>
        </w:tabs>
        <w:ind w:left="4320" w:hanging="360"/>
      </w:pPr>
      <w:rPr>
        <w:rFonts w:ascii="Arial" w:hAnsi="Arial" w:hint="default"/>
      </w:rPr>
    </w:lvl>
    <w:lvl w:ilvl="6" w:tplc="CA98CDC8" w:tentative="1">
      <w:start w:val="1"/>
      <w:numFmt w:val="bullet"/>
      <w:lvlText w:val="•"/>
      <w:lvlJc w:val="left"/>
      <w:pPr>
        <w:tabs>
          <w:tab w:val="num" w:pos="5040"/>
        </w:tabs>
        <w:ind w:left="5040" w:hanging="360"/>
      </w:pPr>
      <w:rPr>
        <w:rFonts w:ascii="Arial" w:hAnsi="Arial" w:hint="default"/>
      </w:rPr>
    </w:lvl>
    <w:lvl w:ilvl="7" w:tplc="F9EC9248" w:tentative="1">
      <w:start w:val="1"/>
      <w:numFmt w:val="bullet"/>
      <w:lvlText w:val="•"/>
      <w:lvlJc w:val="left"/>
      <w:pPr>
        <w:tabs>
          <w:tab w:val="num" w:pos="5760"/>
        </w:tabs>
        <w:ind w:left="5760" w:hanging="360"/>
      </w:pPr>
      <w:rPr>
        <w:rFonts w:ascii="Arial" w:hAnsi="Arial" w:hint="default"/>
      </w:rPr>
    </w:lvl>
    <w:lvl w:ilvl="8" w:tplc="687A7AD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20268F2"/>
    <w:multiLevelType w:val="hybridMultilevel"/>
    <w:tmpl w:val="993E61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2832C56"/>
    <w:multiLevelType w:val="hybridMultilevel"/>
    <w:tmpl w:val="DCEE28C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3B45755"/>
    <w:multiLevelType w:val="hybridMultilevel"/>
    <w:tmpl w:val="A408518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6147BA6"/>
    <w:multiLevelType w:val="hybridMultilevel"/>
    <w:tmpl w:val="A70ACE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41F540A"/>
    <w:multiLevelType w:val="hybridMultilevel"/>
    <w:tmpl w:val="B442E5D4"/>
    <w:lvl w:ilvl="0" w:tplc="0C0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03061A"/>
    <w:multiLevelType w:val="hybridMultilevel"/>
    <w:tmpl w:val="E2962346"/>
    <w:lvl w:ilvl="0" w:tplc="5F56C974">
      <w:numFmt w:val="bullet"/>
      <w:lvlText w:val=""/>
      <w:lvlJc w:val="left"/>
      <w:pPr>
        <w:ind w:left="720" w:hanging="360"/>
      </w:pPr>
      <w:rPr>
        <w:rFonts w:ascii="Wingdings" w:eastAsiaTheme="minorHAnsi" w:hAnsi="Wingdings"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B712565"/>
    <w:multiLevelType w:val="hybridMultilevel"/>
    <w:tmpl w:val="A502CF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D592E3F"/>
    <w:multiLevelType w:val="hybridMultilevel"/>
    <w:tmpl w:val="E4F2A3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DC60436"/>
    <w:multiLevelType w:val="hybridMultilevel"/>
    <w:tmpl w:val="9A7ACC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E213379"/>
    <w:multiLevelType w:val="hybridMultilevel"/>
    <w:tmpl w:val="4084761C"/>
    <w:lvl w:ilvl="0" w:tplc="0C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535038"/>
    <w:multiLevelType w:val="hybridMultilevel"/>
    <w:tmpl w:val="DC9E395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4" w15:restartNumberingAfterBreak="0">
    <w:nsid w:val="42CB24E6"/>
    <w:multiLevelType w:val="hybridMultilevel"/>
    <w:tmpl w:val="9E709F3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46C11A5E"/>
    <w:multiLevelType w:val="hybridMultilevel"/>
    <w:tmpl w:val="FFC84C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BE546CF"/>
    <w:multiLevelType w:val="hybridMultilevel"/>
    <w:tmpl w:val="44ACD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3F00E5"/>
    <w:multiLevelType w:val="hybridMultilevel"/>
    <w:tmpl w:val="1A14B0E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1212EA3"/>
    <w:multiLevelType w:val="multilevel"/>
    <w:tmpl w:val="B1A22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1AA342E"/>
    <w:multiLevelType w:val="hybridMultilevel"/>
    <w:tmpl w:val="00E6EFD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51EB6FC5"/>
    <w:multiLevelType w:val="hybridMultilevel"/>
    <w:tmpl w:val="9598778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1FC03BD"/>
    <w:multiLevelType w:val="hybridMultilevel"/>
    <w:tmpl w:val="25688E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52913E46"/>
    <w:multiLevelType w:val="hybridMultilevel"/>
    <w:tmpl w:val="F5B24D90"/>
    <w:lvl w:ilvl="0" w:tplc="DE5AB590">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586C73C9"/>
    <w:multiLevelType w:val="hybridMultilevel"/>
    <w:tmpl w:val="7FC2B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9B64C8"/>
    <w:multiLevelType w:val="hybridMultilevel"/>
    <w:tmpl w:val="3CF28E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5CE46202"/>
    <w:multiLevelType w:val="hybridMultilevel"/>
    <w:tmpl w:val="835E2FE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5D0C6729"/>
    <w:multiLevelType w:val="hybridMultilevel"/>
    <w:tmpl w:val="C876EB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60AF6B4B"/>
    <w:multiLevelType w:val="hybridMultilevel"/>
    <w:tmpl w:val="F860FE70"/>
    <w:lvl w:ilvl="0" w:tplc="F7C4C0B8">
      <w:numFmt w:val="bullet"/>
      <w:lvlText w:val=""/>
      <w:lvlJc w:val="left"/>
      <w:pPr>
        <w:ind w:left="720" w:hanging="360"/>
      </w:pPr>
      <w:rPr>
        <w:rFonts w:ascii="Wingdings" w:eastAsiaTheme="minorHAnsi" w:hAnsi="Wingdings"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62407A22"/>
    <w:multiLevelType w:val="hybridMultilevel"/>
    <w:tmpl w:val="69AC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E04BEA"/>
    <w:multiLevelType w:val="hybridMultilevel"/>
    <w:tmpl w:val="3788CA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658913F1"/>
    <w:multiLevelType w:val="hybridMultilevel"/>
    <w:tmpl w:val="7A14C6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66092BDC"/>
    <w:multiLevelType w:val="hybridMultilevel"/>
    <w:tmpl w:val="85C662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69594DEC"/>
    <w:multiLevelType w:val="hybridMultilevel"/>
    <w:tmpl w:val="C9821D7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69ED729F"/>
    <w:multiLevelType w:val="hybridMultilevel"/>
    <w:tmpl w:val="235A8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590B38"/>
    <w:multiLevelType w:val="hybridMultilevel"/>
    <w:tmpl w:val="2CD8AA1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15:restartNumberingAfterBreak="0">
    <w:nsid w:val="71715749"/>
    <w:multiLevelType w:val="hybridMultilevel"/>
    <w:tmpl w:val="B15EDE9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6" w15:restartNumberingAfterBreak="0">
    <w:nsid w:val="75B61072"/>
    <w:multiLevelType w:val="hybridMultilevel"/>
    <w:tmpl w:val="183E700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783038878">
    <w:abstractNumId w:val="23"/>
  </w:num>
  <w:num w:numId="2" w16cid:durableId="1323509174">
    <w:abstractNumId w:val="46"/>
  </w:num>
  <w:num w:numId="3" w16cid:durableId="353655718">
    <w:abstractNumId w:val="39"/>
  </w:num>
  <w:num w:numId="4" w16cid:durableId="380905344">
    <w:abstractNumId w:val="30"/>
  </w:num>
  <w:num w:numId="5" w16cid:durableId="1662152283">
    <w:abstractNumId w:val="7"/>
  </w:num>
  <w:num w:numId="6" w16cid:durableId="991059158">
    <w:abstractNumId w:val="9"/>
  </w:num>
  <w:num w:numId="7" w16cid:durableId="1397237298">
    <w:abstractNumId w:val="4"/>
  </w:num>
  <w:num w:numId="8" w16cid:durableId="59788067">
    <w:abstractNumId w:val="10"/>
  </w:num>
  <w:num w:numId="9" w16cid:durableId="1134833317">
    <w:abstractNumId w:val="19"/>
  </w:num>
  <w:num w:numId="10" w16cid:durableId="1620529141">
    <w:abstractNumId w:val="12"/>
  </w:num>
  <w:num w:numId="11" w16cid:durableId="880168377">
    <w:abstractNumId w:val="14"/>
  </w:num>
  <w:num w:numId="12" w16cid:durableId="234514847">
    <w:abstractNumId w:val="36"/>
  </w:num>
  <w:num w:numId="13" w16cid:durableId="1436174357">
    <w:abstractNumId w:val="13"/>
  </w:num>
  <w:num w:numId="14" w16cid:durableId="757480743">
    <w:abstractNumId w:val="1"/>
  </w:num>
  <w:num w:numId="15" w16cid:durableId="848064200">
    <w:abstractNumId w:val="40"/>
  </w:num>
  <w:num w:numId="16" w16cid:durableId="2037001392">
    <w:abstractNumId w:val="29"/>
  </w:num>
  <w:num w:numId="17" w16cid:durableId="1092438118">
    <w:abstractNumId w:val="5"/>
  </w:num>
  <w:num w:numId="18" w16cid:durableId="1174421006">
    <w:abstractNumId w:val="25"/>
  </w:num>
  <w:num w:numId="19" w16cid:durableId="1895971159">
    <w:abstractNumId w:val="41"/>
  </w:num>
  <w:num w:numId="20" w16cid:durableId="551889342">
    <w:abstractNumId w:val="24"/>
  </w:num>
  <w:num w:numId="21" w16cid:durableId="652567770">
    <w:abstractNumId w:val="3"/>
  </w:num>
  <w:num w:numId="22" w16cid:durableId="793985241">
    <w:abstractNumId w:val="38"/>
  </w:num>
  <w:num w:numId="23" w16cid:durableId="277680869">
    <w:abstractNumId w:val="22"/>
  </w:num>
  <w:num w:numId="24" w16cid:durableId="132605006">
    <w:abstractNumId w:val="17"/>
  </w:num>
  <w:num w:numId="25" w16cid:durableId="579367120">
    <w:abstractNumId w:val="33"/>
  </w:num>
  <w:num w:numId="26" w16cid:durableId="1420786011">
    <w:abstractNumId w:val="31"/>
  </w:num>
  <w:num w:numId="27" w16cid:durableId="875891222">
    <w:abstractNumId w:val="34"/>
  </w:num>
  <w:num w:numId="28" w16cid:durableId="1752266476">
    <w:abstractNumId w:val="18"/>
  </w:num>
  <w:num w:numId="29" w16cid:durableId="125584076">
    <w:abstractNumId w:val="42"/>
  </w:num>
  <w:num w:numId="30" w16cid:durableId="214003257">
    <w:abstractNumId w:val="27"/>
  </w:num>
  <w:num w:numId="31" w16cid:durableId="891966251">
    <w:abstractNumId w:val="37"/>
  </w:num>
  <w:num w:numId="32" w16cid:durableId="1937402248">
    <w:abstractNumId w:val="0"/>
  </w:num>
  <w:num w:numId="33" w16cid:durableId="1522552872">
    <w:abstractNumId w:val="21"/>
  </w:num>
  <w:num w:numId="34" w16cid:durableId="1021127116">
    <w:abstractNumId w:val="11"/>
  </w:num>
  <w:num w:numId="35" w16cid:durableId="1761873199">
    <w:abstractNumId w:val="44"/>
  </w:num>
  <w:num w:numId="36" w16cid:durableId="507865561">
    <w:abstractNumId w:val="45"/>
  </w:num>
  <w:num w:numId="37" w16cid:durableId="629627935">
    <w:abstractNumId w:val="15"/>
  </w:num>
  <w:num w:numId="38" w16cid:durableId="49884882">
    <w:abstractNumId w:val="35"/>
  </w:num>
  <w:num w:numId="39" w16cid:durableId="1402870526">
    <w:abstractNumId w:val="20"/>
  </w:num>
  <w:num w:numId="40" w16cid:durableId="278414772">
    <w:abstractNumId w:val="26"/>
  </w:num>
  <w:num w:numId="41" w16cid:durableId="2033729255">
    <w:abstractNumId w:val="2"/>
  </w:num>
  <w:num w:numId="42" w16cid:durableId="1892885321">
    <w:abstractNumId w:val="32"/>
  </w:num>
  <w:num w:numId="43" w16cid:durableId="677124658">
    <w:abstractNumId w:val="16"/>
  </w:num>
  <w:num w:numId="44" w16cid:durableId="1229655943">
    <w:abstractNumId w:val="6"/>
  </w:num>
  <w:num w:numId="45" w16cid:durableId="532381451">
    <w:abstractNumId w:val="28"/>
  </w:num>
  <w:num w:numId="46" w16cid:durableId="1357538791">
    <w:abstractNumId w:val="8"/>
  </w:num>
  <w:num w:numId="47" w16cid:durableId="160114130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ExNjWyNLQwsrSwNDFR0lEKTi0uzszPAykwrAUAW5DuGCwAAAA="/>
  </w:docVars>
  <w:rsids>
    <w:rsidRoot w:val="00391CB7"/>
    <w:rsid w:val="00001D83"/>
    <w:rsid w:val="00004114"/>
    <w:rsid w:val="000042E8"/>
    <w:rsid w:val="000051B9"/>
    <w:rsid w:val="000070F1"/>
    <w:rsid w:val="00011F52"/>
    <w:rsid w:val="000139E9"/>
    <w:rsid w:val="000148AF"/>
    <w:rsid w:val="00016BE0"/>
    <w:rsid w:val="00021942"/>
    <w:rsid w:val="0002221A"/>
    <w:rsid w:val="0002437A"/>
    <w:rsid w:val="00026EA7"/>
    <w:rsid w:val="00030031"/>
    <w:rsid w:val="000314C4"/>
    <w:rsid w:val="000344F7"/>
    <w:rsid w:val="00034506"/>
    <w:rsid w:val="00036096"/>
    <w:rsid w:val="000369EB"/>
    <w:rsid w:val="00040F09"/>
    <w:rsid w:val="000422AB"/>
    <w:rsid w:val="00043296"/>
    <w:rsid w:val="00044B42"/>
    <w:rsid w:val="00047D49"/>
    <w:rsid w:val="000506C5"/>
    <w:rsid w:val="000508AF"/>
    <w:rsid w:val="00051C48"/>
    <w:rsid w:val="00052279"/>
    <w:rsid w:val="00052728"/>
    <w:rsid w:val="00055EE2"/>
    <w:rsid w:val="00056C6B"/>
    <w:rsid w:val="00062250"/>
    <w:rsid w:val="000626D1"/>
    <w:rsid w:val="000650B0"/>
    <w:rsid w:val="000663B6"/>
    <w:rsid w:val="00071264"/>
    <w:rsid w:val="0007153A"/>
    <w:rsid w:val="00073FB0"/>
    <w:rsid w:val="000754B8"/>
    <w:rsid w:val="0007554C"/>
    <w:rsid w:val="00075E12"/>
    <w:rsid w:val="0007628C"/>
    <w:rsid w:val="00077034"/>
    <w:rsid w:val="0008026A"/>
    <w:rsid w:val="000818CF"/>
    <w:rsid w:val="000823E9"/>
    <w:rsid w:val="000851D6"/>
    <w:rsid w:val="00085BC1"/>
    <w:rsid w:val="00085CCB"/>
    <w:rsid w:val="0008612E"/>
    <w:rsid w:val="00087671"/>
    <w:rsid w:val="0009021C"/>
    <w:rsid w:val="000902EF"/>
    <w:rsid w:val="00091826"/>
    <w:rsid w:val="00092EA7"/>
    <w:rsid w:val="00092EF3"/>
    <w:rsid w:val="000934DC"/>
    <w:rsid w:val="00094D63"/>
    <w:rsid w:val="00095CF0"/>
    <w:rsid w:val="000A1E85"/>
    <w:rsid w:val="000A34BF"/>
    <w:rsid w:val="000A394C"/>
    <w:rsid w:val="000A5D10"/>
    <w:rsid w:val="000A5D6A"/>
    <w:rsid w:val="000B25B8"/>
    <w:rsid w:val="000B3591"/>
    <w:rsid w:val="000B3811"/>
    <w:rsid w:val="000B3A5E"/>
    <w:rsid w:val="000B5760"/>
    <w:rsid w:val="000B6B92"/>
    <w:rsid w:val="000C0A54"/>
    <w:rsid w:val="000C1FD2"/>
    <w:rsid w:val="000C2E3E"/>
    <w:rsid w:val="000C4115"/>
    <w:rsid w:val="000C49A3"/>
    <w:rsid w:val="000C4CD4"/>
    <w:rsid w:val="000C7137"/>
    <w:rsid w:val="000C78C3"/>
    <w:rsid w:val="000D0945"/>
    <w:rsid w:val="000D0D1A"/>
    <w:rsid w:val="000D4669"/>
    <w:rsid w:val="000D4E5A"/>
    <w:rsid w:val="000D625B"/>
    <w:rsid w:val="000D6753"/>
    <w:rsid w:val="000E2C79"/>
    <w:rsid w:val="000E4536"/>
    <w:rsid w:val="000E494E"/>
    <w:rsid w:val="000E68E6"/>
    <w:rsid w:val="000F1F60"/>
    <w:rsid w:val="000F2E98"/>
    <w:rsid w:val="000F3D5C"/>
    <w:rsid w:val="000F3FDC"/>
    <w:rsid w:val="000F44BC"/>
    <w:rsid w:val="000F5154"/>
    <w:rsid w:val="000F5E21"/>
    <w:rsid w:val="000F6B3D"/>
    <w:rsid w:val="000F78C1"/>
    <w:rsid w:val="00105896"/>
    <w:rsid w:val="00106E01"/>
    <w:rsid w:val="0011036F"/>
    <w:rsid w:val="001104D6"/>
    <w:rsid w:val="001112AE"/>
    <w:rsid w:val="00111C23"/>
    <w:rsid w:val="001138C6"/>
    <w:rsid w:val="001144BD"/>
    <w:rsid w:val="001153E9"/>
    <w:rsid w:val="001158DE"/>
    <w:rsid w:val="00116CA9"/>
    <w:rsid w:val="00121555"/>
    <w:rsid w:val="00121579"/>
    <w:rsid w:val="00121F08"/>
    <w:rsid w:val="00123A13"/>
    <w:rsid w:val="00123CFE"/>
    <w:rsid w:val="00123DB0"/>
    <w:rsid w:val="00124700"/>
    <w:rsid w:val="00124827"/>
    <w:rsid w:val="00124A8F"/>
    <w:rsid w:val="00126E2F"/>
    <w:rsid w:val="00127072"/>
    <w:rsid w:val="00127633"/>
    <w:rsid w:val="001311C5"/>
    <w:rsid w:val="0013245C"/>
    <w:rsid w:val="00133492"/>
    <w:rsid w:val="00133D2A"/>
    <w:rsid w:val="00136866"/>
    <w:rsid w:val="00142088"/>
    <w:rsid w:val="0014299C"/>
    <w:rsid w:val="0014380E"/>
    <w:rsid w:val="001450AF"/>
    <w:rsid w:val="00146B95"/>
    <w:rsid w:val="00147B1A"/>
    <w:rsid w:val="0015145A"/>
    <w:rsid w:val="00154679"/>
    <w:rsid w:val="00154EB9"/>
    <w:rsid w:val="00155D6F"/>
    <w:rsid w:val="00160179"/>
    <w:rsid w:val="0016375F"/>
    <w:rsid w:val="00164518"/>
    <w:rsid w:val="0016588B"/>
    <w:rsid w:val="001658D1"/>
    <w:rsid w:val="0016713A"/>
    <w:rsid w:val="00167DAF"/>
    <w:rsid w:val="001732AE"/>
    <w:rsid w:val="00174DAE"/>
    <w:rsid w:val="001763C8"/>
    <w:rsid w:val="00180FDB"/>
    <w:rsid w:val="00181EC6"/>
    <w:rsid w:val="0018202F"/>
    <w:rsid w:val="001846CC"/>
    <w:rsid w:val="00185C19"/>
    <w:rsid w:val="0018612C"/>
    <w:rsid w:val="001877BF"/>
    <w:rsid w:val="00187ECB"/>
    <w:rsid w:val="00190E9D"/>
    <w:rsid w:val="00195220"/>
    <w:rsid w:val="00195619"/>
    <w:rsid w:val="00196101"/>
    <w:rsid w:val="001A04B2"/>
    <w:rsid w:val="001A5AE2"/>
    <w:rsid w:val="001A6F0F"/>
    <w:rsid w:val="001B156B"/>
    <w:rsid w:val="001B3C52"/>
    <w:rsid w:val="001B4832"/>
    <w:rsid w:val="001B4EA1"/>
    <w:rsid w:val="001B5CCD"/>
    <w:rsid w:val="001B6076"/>
    <w:rsid w:val="001B68F8"/>
    <w:rsid w:val="001B7334"/>
    <w:rsid w:val="001C1BA0"/>
    <w:rsid w:val="001C2192"/>
    <w:rsid w:val="001C29BB"/>
    <w:rsid w:val="001C37B7"/>
    <w:rsid w:val="001C559A"/>
    <w:rsid w:val="001D0961"/>
    <w:rsid w:val="001D1615"/>
    <w:rsid w:val="001D2A4B"/>
    <w:rsid w:val="001D305B"/>
    <w:rsid w:val="001D4C51"/>
    <w:rsid w:val="001D5B5A"/>
    <w:rsid w:val="001E067D"/>
    <w:rsid w:val="001E19F2"/>
    <w:rsid w:val="001E24A9"/>
    <w:rsid w:val="001F125E"/>
    <w:rsid w:val="001F17DB"/>
    <w:rsid w:val="001F1FE9"/>
    <w:rsid w:val="001F2937"/>
    <w:rsid w:val="001F43DE"/>
    <w:rsid w:val="001F6B1E"/>
    <w:rsid w:val="001F6FAB"/>
    <w:rsid w:val="001F75B4"/>
    <w:rsid w:val="00200D3F"/>
    <w:rsid w:val="0020400A"/>
    <w:rsid w:val="00207163"/>
    <w:rsid w:val="002074DA"/>
    <w:rsid w:val="002171FE"/>
    <w:rsid w:val="00217885"/>
    <w:rsid w:val="00217B8B"/>
    <w:rsid w:val="00222113"/>
    <w:rsid w:val="0022329B"/>
    <w:rsid w:val="002233C4"/>
    <w:rsid w:val="00225796"/>
    <w:rsid w:val="00225A6C"/>
    <w:rsid w:val="00225D1A"/>
    <w:rsid w:val="002318D3"/>
    <w:rsid w:val="00231A41"/>
    <w:rsid w:val="0023250D"/>
    <w:rsid w:val="00234960"/>
    <w:rsid w:val="0023546F"/>
    <w:rsid w:val="00237901"/>
    <w:rsid w:val="0024060D"/>
    <w:rsid w:val="00241C82"/>
    <w:rsid w:val="00245A27"/>
    <w:rsid w:val="00245DC8"/>
    <w:rsid w:val="002534F8"/>
    <w:rsid w:val="0025563E"/>
    <w:rsid w:val="00256030"/>
    <w:rsid w:val="00257485"/>
    <w:rsid w:val="00257500"/>
    <w:rsid w:val="002577AE"/>
    <w:rsid w:val="002615A5"/>
    <w:rsid w:val="002702AF"/>
    <w:rsid w:val="002720BF"/>
    <w:rsid w:val="002733C2"/>
    <w:rsid w:val="00273D4B"/>
    <w:rsid w:val="002763E4"/>
    <w:rsid w:val="0028000B"/>
    <w:rsid w:val="0028291F"/>
    <w:rsid w:val="00282B43"/>
    <w:rsid w:val="00282F80"/>
    <w:rsid w:val="002833A7"/>
    <w:rsid w:val="00285F90"/>
    <w:rsid w:val="002876A0"/>
    <w:rsid w:val="00292CBC"/>
    <w:rsid w:val="00293850"/>
    <w:rsid w:val="00294BEC"/>
    <w:rsid w:val="002952DA"/>
    <w:rsid w:val="002A4C4C"/>
    <w:rsid w:val="002A4CA2"/>
    <w:rsid w:val="002A7C85"/>
    <w:rsid w:val="002B25D4"/>
    <w:rsid w:val="002B3DC6"/>
    <w:rsid w:val="002B6AA1"/>
    <w:rsid w:val="002B7628"/>
    <w:rsid w:val="002C3623"/>
    <w:rsid w:val="002C5287"/>
    <w:rsid w:val="002C59C6"/>
    <w:rsid w:val="002C7BE7"/>
    <w:rsid w:val="002D06D9"/>
    <w:rsid w:val="002D19C3"/>
    <w:rsid w:val="002D3750"/>
    <w:rsid w:val="002D4006"/>
    <w:rsid w:val="002D41EF"/>
    <w:rsid w:val="002D6594"/>
    <w:rsid w:val="002E2108"/>
    <w:rsid w:val="002E375D"/>
    <w:rsid w:val="002E42A3"/>
    <w:rsid w:val="002E5727"/>
    <w:rsid w:val="002E5C07"/>
    <w:rsid w:val="002E6B9B"/>
    <w:rsid w:val="002F14C2"/>
    <w:rsid w:val="002F1A9F"/>
    <w:rsid w:val="002F1C56"/>
    <w:rsid w:val="002F1F43"/>
    <w:rsid w:val="002F2368"/>
    <w:rsid w:val="002F2711"/>
    <w:rsid w:val="002F2AA9"/>
    <w:rsid w:val="002F2FB1"/>
    <w:rsid w:val="002F4953"/>
    <w:rsid w:val="002F6595"/>
    <w:rsid w:val="0030095D"/>
    <w:rsid w:val="0030126C"/>
    <w:rsid w:val="00301E6E"/>
    <w:rsid w:val="003025BB"/>
    <w:rsid w:val="00302813"/>
    <w:rsid w:val="00303C35"/>
    <w:rsid w:val="0030423F"/>
    <w:rsid w:val="00304DFE"/>
    <w:rsid w:val="00305AA1"/>
    <w:rsid w:val="0030690E"/>
    <w:rsid w:val="00310378"/>
    <w:rsid w:val="0031081E"/>
    <w:rsid w:val="00312301"/>
    <w:rsid w:val="00312F82"/>
    <w:rsid w:val="00313799"/>
    <w:rsid w:val="00313931"/>
    <w:rsid w:val="00313AF7"/>
    <w:rsid w:val="00315A07"/>
    <w:rsid w:val="00316CE5"/>
    <w:rsid w:val="00316D1C"/>
    <w:rsid w:val="00321AFC"/>
    <w:rsid w:val="003225E3"/>
    <w:rsid w:val="003239BD"/>
    <w:rsid w:val="00325331"/>
    <w:rsid w:val="0032561D"/>
    <w:rsid w:val="00325A37"/>
    <w:rsid w:val="003261B8"/>
    <w:rsid w:val="003262C9"/>
    <w:rsid w:val="00332EDC"/>
    <w:rsid w:val="00334D76"/>
    <w:rsid w:val="003354A3"/>
    <w:rsid w:val="00335518"/>
    <w:rsid w:val="003361E1"/>
    <w:rsid w:val="00337242"/>
    <w:rsid w:val="003378F0"/>
    <w:rsid w:val="00340780"/>
    <w:rsid w:val="00340819"/>
    <w:rsid w:val="003425D5"/>
    <w:rsid w:val="00342897"/>
    <w:rsid w:val="00344B3C"/>
    <w:rsid w:val="0034558E"/>
    <w:rsid w:val="00347033"/>
    <w:rsid w:val="00350767"/>
    <w:rsid w:val="00353A55"/>
    <w:rsid w:val="003546D5"/>
    <w:rsid w:val="00355AF2"/>
    <w:rsid w:val="003569C2"/>
    <w:rsid w:val="00357DBC"/>
    <w:rsid w:val="003608A3"/>
    <w:rsid w:val="003643E6"/>
    <w:rsid w:val="00364A20"/>
    <w:rsid w:val="0036595C"/>
    <w:rsid w:val="003660A3"/>
    <w:rsid w:val="00367C74"/>
    <w:rsid w:val="00372E2A"/>
    <w:rsid w:val="00374482"/>
    <w:rsid w:val="003752AD"/>
    <w:rsid w:val="003753C2"/>
    <w:rsid w:val="00375FA6"/>
    <w:rsid w:val="00376911"/>
    <w:rsid w:val="00377842"/>
    <w:rsid w:val="00377B4B"/>
    <w:rsid w:val="00377E7E"/>
    <w:rsid w:val="0038213E"/>
    <w:rsid w:val="0038232D"/>
    <w:rsid w:val="00384004"/>
    <w:rsid w:val="003864BD"/>
    <w:rsid w:val="00386B58"/>
    <w:rsid w:val="00386DCE"/>
    <w:rsid w:val="00391CB7"/>
    <w:rsid w:val="00392031"/>
    <w:rsid w:val="00392279"/>
    <w:rsid w:val="003922EE"/>
    <w:rsid w:val="0039332C"/>
    <w:rsid w:val="00393607"/>
    <w:rsid w:val="00395C34"/>
    <w:rsid w:val="003A3749"/>
    <w:rsid w:val="003A4B12"/>
    <w:rsid w:val="003A7128"/>
    <w:rsid w:val="003A7A63"/>
    <w:rsid w:val="003C0BE7"/>
    <w:rsid w:val="003C276D"/>
    <w:rsid w:val="003C2CA6"/>
    <w:rsid w:val="003C4D2B"/>
    <w:rsid w:val="003D0E24"/>
    <w:rsid w:val="003D2552"/>
    <w:rsid w:val="003D3817"/>
    <w:rsid w:val="003D3A8C"/>
    <w:rsid w:val="003D437E"/>
    <w:rsid w:val="003D4C2B"/>
    <w:rsid w:val="003D5F8D"/>
    <w:rsid w:val="003E3248"/>
    <w:rsid w:val="003E57CB"/>
    <w:rsid w:val="003E77A2"/>
    <w:rsid w:val="003F170E"/>
    <w:rsid w:val="003F675A"/>
    <w:rsid w:val="003F7243"/>
    <w:rsid w:val="00407A31"/>
    <w:rsid w:val="004109E2"/>
    <w:rsid w:val="004112B1"/>
    <w:rsid w:val="00413819"/>
    <w:rsid w:val="0041728C"/>
    <w:rsid w:val="004216E7"/>
    <w:rsid w:val="00422FAF"/>
    <w:rsid w:val="00424681"/>
    <w:rsid w:val="00433019"/>
    <w:rsid w:val="00433440"/>
    <w:rsid w:val="0043484D"/>
    <w:rsid w:val="004373AA"/>
    <w:rsid w:val="004375EB"/>
    <w:rsid w:val="00440810"/>
    <w:rsid w:val="00441B9F"/>
    <w:rsid w:val="00441E08"/>
    <w:rsid w:val="004477E7"/>
    <w:rsid w:val="0044780E"/>
    <w:rsid w:val="00450173"/>
    <w:rsid w:val="00451CFB"/>
    <w:rsid w:val="004555DB"/>
    <w:rsid w:val="00457340"/>
    <w:rsid w:val="00457641"/>
    <w:rsid w:val="004579E3"/>
    <w:rsid w:val="00460125"/>
    <w:rsid w:val="00460C0B"/>
    <w:rsid w:val="00462F93"/>
    <w:rsid w:val="00464A6B"/>
    <w:rsid w:val="004673D7"/>
    <w:rsid w:val="00467BAD"/>
    <w:rsid w:val="00472BD9"/>
    <w:rsid w:val="004743C8"/>
    <w:rsid w:val="00474FC1"/>
    <w:rsid w:val="00482393"/>
    <w:rsid w:val="00485ABB"/>
    <w:rsid w:val="00491437"/>
    <w:rsid w:val="0049269E"/>
    <w:rsid w:val="004937C0"/>
    <w:rsid w:val="00493C7F"/>
    <w:rsid w:val="00495666"/>
    <w:rsid w:val="00495BF5"/>
    <w:rsid w:val="00497E9D"/>
    <w:rsid w:val="004A32B1"/>
    <w:rsid w:val="004A3E8B"/>
    <w:rsid w:val="004A5A86"/>
    <w:rsid w:val="004A5E11"/>
    <w:rsid w:val="004A68FA"/>
    <w:rsid w:val="004B076F"/>
    <w:rsid w:val="004B2C7D"/>
    <w:rsid w:val="004B33E2"/>
    <w:rsid w:val="004B3AD9"/>
    <w:rsid w:val="004B5828"/>
    <w:rsid w:val="004B58AE"/>
    <w:rsid w:val="004C0A79"/>
    <w:rsid w:val="004C153D"/>
    <w:rsid w:val="004C17BA"/>
    <w:rsid w:val="004C1F22"/>
    <w:rsid w:val="004C2323"/>
    <w:rsid w:val="004C293B"/>
    <w:rsid w:val="004C37CA"/>
    <w:rsid w:val="004C43FF"/>
    <w:rsid w:val="004C7822"/>
    <w:rsid w:val="004D3555"/>
    <w:rsid w:val="004D5585"/>
    <w:rsid w:val="004E0E91"/>
    <w:rsid w:val="004E16D5"/>
    <w:rsid w:val="004E1B67"/>
    <w:rsid w:val="004E1E94"/>
    <w:rsid w:val="004E3F55"/>
    <w:rsid w:val="004E6034"/>
    <w:rsid w:val="004F103E"/>
    <w:rsid w:val="004F3E65"/>
    <w:rsid w:val="004F4BD2"/>
    <w:rsid w:val="004F5462"/>
    <w:rsid w:val="004F634F"/>
    <w:rsid w:val="004F6496"/>
    <w:rsid w:val="004F7332"/>
    <w:rsid w:val="00501753"/>
    <w:rsid w:val="00502F4B"/>
    <w:rsid w:val="00504E91"/>
    <w:rsid w:val="00511957"/>
    <w:rsid w:val="00512886"/>
    <w:rsid w:val="00514093"/>
    <w:rsid w:val="005204FA"/>
    <w:rsid w:val="005226BA"/>
    <w:rsid w:val="00523574"/>
    <w:rsid w:val="00523F86"/>
    <w:rsid w:val="00525A9E"/>
    <w:rsid w:val="0053008C"/>
    <w:rsid w:val="00531736"/>
    <w:rsid w:val="005361A0"/>
    <w:rsid w:val="0053656E"/>
    <w:rsid w:val="00537B00"/>
    <w:rsid w:val="005424E1"/>
    <w:rsid w:val="005445C4"/>
    <w:rsid w:val="00544CE7"/>
    <w:rsid w:val="005468E0"/>
    <w:rsid w:val="00550C25"/>
    <w:rsid w:val="00551E3F"/>
    <w:rsid w:val="0055356E"/>
    <w:rsid w:val="00553C1F"/>
    <w:rsid w:val="00555976"/>
    <w:rsid w:val="00557D5C"/>
    <w:rsid w:val="00560FE9"/>
    <w:rsid w:val="00561D79"/>
    <w:rsid w:val="00562456"/>
    <w:rsid w:val="00562CD6"/>
    <w:rsid w:val="00564668"/>
    <w:rsid w:val="00564C49"/>
    <w:rsid w:val="00564E0A"/>
    <w:rsid w:val="0056527F"/>
    <w:rsid w:val="00565D37"/>
    <w:rsid w:val="00565F44"/>
    <w:rsid w:val="005662F7"/>
    <w:rsid w:val="0057082A"/>
    <w:rsid w:val="00572AA8"/>
    <w:rsid w:val="005733FD"/>
    <w:rsid w:val="0057497D"/>
    <w:rsid w:val="0058302A"/>
    <w:rsid w:val="00583D48"/>
    <w:rsid w:val="0058515E"/>
    <w:rsid w:val="00590094"/>
    <w:rsid w:val="005938C0"/>
    <w:rsid w:val="00593979"/>
    <w:rsid w:val="00594482"/>
    <w:rsid w:val="0059475B"/>
    <w:rsid w:val="005A0F6F"/>
    <w:rsid w:val="005A316D"/>
    <w:rsid w:val="005A327E"/>
    <w:rsid w:val="005A35E6"/>
    <w:rsid w:val="005B5471"/>
    <w:rsid w:val="005C0B15"/>
    <w:rsid w:val="005C0B47"/>
    <w:rsid w:val="005C0DCE"/>
    <w:rsid w:val="005C0F93"/>
    <w:rsid w:val="005C4DEC"/>
    <w:rsid w:val="005C514F"/>
    <w:rsid w:val="005C60F8"/>
    <w:rsid w:val="005C68A0"/>
    <w:rsid w:val="005C78DC"/>
    <w:rsid w:val="005D5F0B"/>
    <w:rsid w:val="005D6DBA"/>
    <w:rsid w:val="005D736C"/>
    <w:rsid w:val="005D737F"/>
    <w:rsid w:val="005E0D23"/>
    <w:rsid w:val="005E27D6"/>
    <w:rsid w:val="005E695F"/>
    <w:rsid w:val="005F0915"/>
    <w:rsid w:val="005F1734"/>
    <w:rsid w:val="005F3639"/>
    <w:rsid w:val="005F3752"/>
    <w:rsid w:val="005F4A3D"/>
    <w:rsid w:val="005F4FC8"/>
    <w:rsid w:val="005F59D1"/>
    <w:rsid w:val="005F6C25"/>
    <w:rsid w:val="005F7669"/>
    <w:rsid w:val="005F7F16"/>
    <w:rsid w:val="0060081E"/>
    <w:rsid w:val="00602090"/>
    <w:rsid w:val="00603426"/>
    <w:rsid w:val="00603A99"/>
    <w:rsid w:val="00604933"/>
    <w:rsid w:val="0060656D"/>
    <w:rsid w:val="00612F4B"/>
    <w:rsid w:val="006161C0"/>
    <w:rsid w:val="006223C1"/>
    <w:rsid w:val="006240A3"/>
    <w:rsid w:val="00624613"/>
    <w:rsid w:val="00625AB8"/>
    <w:rsid w:val="0062761C"/>
    <w:rsid w:val="00630349"/>
    <w:rsid w:val="00630A22"/>
    <w:rsid w:val="006324C2"/>
    <w:rsid w:val="00634463"/>
    <w:rsid w:val="0064052A"/>
    <w:rsid w:val="0064097E"/>
    <w:rsid w:val="006416C6"/>
    <w:rsid w:val="00643798"/>
    <w:rsid w:val="00653903"/>
    <w:rsid w:val="00654B7F"/>
    <w:rsid w:val="00657C41"/>
    <w:rsid w:val="00657CDD"/>
    <w:rsid w:val="00660FBE"/>
    <w:rsid w:val="0066129C"/>
    <w:rsid w:val="00661364"/>
    <w:rsid w:val="00662A02"/>
    <w:rsid w:val="00664FEF"/>
    <w:rsid w:val="00665C3E"/>
    <w:rsid w:val="00666A2B"/>
    <w:rsid w:val="00667C1A"/>
    <w:rsid w:val="006813B6"/>
    <w:rsid w:val="00683C6E"/>
    <w:rsid w:val="00683D0E"/>
    <w:rsid w:val="00683F60"/>
    <w:rsid w:val="00684CB7"/>
    <w:rsid w:val="00685579"/>
    <w:rsid w:val="00685DAA"/>
    <w:rsid w:val="00687919"/>
    <w:rsid w:val="00693BA8"/>
    <w:rsid w:val="00693C9C"/>
    <w:rsid w:val="0069462F"/>
    <w:rsid w:val="00694EA2"/>
    <w:rsid w:val="00696330"/>
    <w:rsid w:val="0069638A"/>
    <w:rsid w:val="006A6E3B"/>
    <w:rsid w:val="006A7147"/>
    <w:rsid w:val="006B0514"/>
    <w:rsid w:val="006B080E"/>
    <w:rsid w:val="006B1324"/>
    <w:rsid w:val="006B35A5"/>
    <w:rsid w:val="006B3C82"/>
    <w:rsid w:val="006B709B"/>
    <w:rsid w:val="006B779A"/>
    <w:rsid w:val="006C0EDC"/>
    <w:rsid w:val="006C3305"/>
    <w:rsid w:val="006C4347"/>
    <w:rsid w:val="006C52CE"/>
    <w:rsid w:val="006D0755"/>
    <w:rsid w:val="006D2097"/>
    <w:rsid w:val="006D2AE5"/>
    <w:rsid w:val="006D2D47"/>
    <w:rsid w:val="006D3D7F"/>
    <w:rsid w:val="006D5467"/>
    <w:rsid w:val="006D753F"/>
    <w:rsid w:val="006E0144"/>
    <w:rsid w:val="006E0529"/>
    <w:rsid w:val="006E0F82"/>
    <w:rsid w:val="006F1A71"/>
    <w:rsid w:val="006F253E"/>
    <w:rsid w:val="006F28E5"/>
    <w:rsid w:val="006F3D3F"/>
    <w:rsid w:val="006F5478"/>
    <w:rsid w:val="00700322"/>
    <w:rsid w:val="007037BF"/>
    <w:rsid w:val="00703F2D"/>
    <w:rsid w:val="00704526"/>
    <w:rsid w:val="007045F1"/>
    <w:rsid w:val="00704B26"/>
    <w:rsid w:val="0071015A"/>
    <w:rsid w:val="00710E86"/>
    <w:rsid w:val="007126F1"/>
    <w:rsid w:val="0072235D"/>
    <w:rsid w:val="007236BD"/>
    <w:rsid w:val="00724481"/>
    <w:rsid w:val="00726DA9"/>
    <w:rsid w:val="0073089E"/>
    <w:rsid w:val="00732384"/>
    <w:rsid w:val="007326EA"/>
    <w:rsid w:val="00732ACE"/>
    <w:rsid w:val="00733DCB"/>
    <w:rsid w:val="0073454F"/>
    <w:rsid w:val="00740116"/>
    <w:rsid w:val="00743DAA"/>
    <w:rsid w:val="007454CE"/>
    <w:rsid w:val="0074733B"/>
    <w:rsid w:val="00750ACE"/>
    <w:rsid w:val="00755898"/>
    <w:rsid w:val="00755CF6"/>
    <w:rsid w:val="00756174"/>
    <w:rsid w:val="007567C3"/>
    <w:rsid w:val="007575E3"/>
    <w:rsid w:val="00761507"/>
    <w:rsid w:val="00771CBE"/>
    <w:rsid w:val="00773ADB"/>
    <w:rsid w:val="00774601"/>
    <w:rsid w:val="00775187"/>
    <w:rsid w:val="007752DF"/>
    <w:rsid w:val="007754D1"/>
    <w:rsid w:val="00776B4E"/>
    <w:rsid w:val="00777FC6"/>
    <w:rsid w:val="00780C68"/>
    <w:rsid w:val="00781602"/>
    <w:rsid w:val="00782156"/>
    <w:rsid w:val="007848E2"/>
    <w:rsid w:val="007942FB"/>
    <w:rsid w:val="00794DC3"/>
    <w:rsid w:val="00795814"/>
    <w:rsid w:val="00796B5E"/>
    <w:rsid w:val="00797351"/>
    <w:rsid w:val="007A0FCD"/>
    <w:rsid w:val="007A3CC5"/>
    <w:rsid w:val="007A4878"/>
    <w:rsid w:val="007A575B"/>
    <w:rsid w:val="007A58EB"/>
    <w:rsid w:val="007A6E44"/>
    <w:rsid w:val="007A77BB"/>
    <w:rsid w:val="007B26FC"/>
    <w:rsid w:val="007B303B"/>
    <w:rsid w:val="007B47CE"/>
    <w:rsid w:val="007B4FAF"/>
    <w:rsid w:val="007B6F49"/>
    <w:rsid w:val="007C0E0A"/>
    <w:rsid w:val="007C191D"/>
    <w:rsid w:val="007C230A"/>
    <w:rsid w:val="007C371F"/>
    <w:rsid w:val="007C548C"/>
    <w:rsid w:val="007C5E01"/>
    <w:rsid w:val="007D0EF5"/>
    <w:rsid w:val="007D2F82"/>
    <w:rsid w:val="007D3885"/>
    <w:rsid w:val="007D6008"/>
    <w:rsid w:val="007D6402"/>
    <w:rsid w:val="007D788A"/>
    <w:rsid w:val="007D7AED"/>
    <w:rsid w:val="007E0EBB"/>
    <w:rsid w:val="007E370A"/>
    <w:rsid w:val="007E527F"/>
    <w:rsid w:val="007E6043"/>
    <w:rsid w:val="007E69D6"/>
    <w:rsid w:val="007E6DBB"/>
    <w:rsid w:val="007F1B8D"/>
    <w:rsid w:val="007F1D95"/>
    <w:rsid w:val="007F4A80"/>
    <w:rsid w:val="007F4D8F"/>
    <w:rsid w:val="007F61B2"/>
    <w:rsid w:val="007F6D14"/>
    <w:rsid w:val="007F7062"/>
    <w:rsid w:val="007F7988"/>
    <w:rsid w:val="00806754"/>
    <w:rsid w:val="0080789E"/>
    <w:rsid w:val="00811A70"/>
    <w:rsid w:val="0081220B"/>
    <w:rsid w:val="00812210"/>
    <w:rsid w:val="00815A72"/>
    <w:rsid w:val="00817947"/>
    <w:rsid w:val="00820A17"/>
    <w:rsid w:val="008227D1"/>
    <w:rsid w:val="00824894"/>
    <w:rsid w:val="00826B5E"/>
    <w:rsid w:val="008363A4"/>
    <w:rsid w:val="008405A4"/>
    <w:rsid w:val="0084184D"/>
    <w:rsid w:val="0084662E"/>
    <w:rsid w:val="008518D5"/>
    <w:rsid w:val="0085251B"/>
    <w:rsid w:val="008602A6"/>
    <w:rsid w:val="0086357E"/>
    <w:rsid w:val="0086358C"/>
    <w:rsid w:val="00863661"/>
    <w:rsid w:val="00867940"/>
    <w:rsid w:val="008802BE"/>
    <w:rsid w:val="00881314"/>
    <w:rsid w:val="00881471"/>
    <w:rsid w:val="00883ED2"/>
    <w:rsid w:val="00886589"/>
    <w:rsid w:val="00886FBE"/>
    <w:rsid w:val="008875F1"/>
    <w:rsid w:val="008907CA"/>
    <w:rsid w:val="00895435"/>
    <w:rsid w:val="00895462"/>
    <w:rsid w:val="008967A3"/>
    <w:rsid w:val="008A1216"/>
    <w:rsid w:val="008A1C25"/>
    <w:rsid w:val="008A1FE7"/>
    <w:rsid w:val="008A28F3"/>
    <w:rsid w:val="008A3069"/>
    <w:rsid w:val="008A404B"/>
    <w:rsid w:val="008B1E6A"/>
    <w:rsid w:val="008B3563"/>
    <w:rsid w:val="008B392A"/>
    <w:rsid w:val="008C04FC"/>
    <w:rsid w:val="008C154F"/>
    <w:rsid w:val="008C1C01"/>
    <w:rsid w:val="008C32E4"/>
    <w:rsid w:val="008C422B"/>
    <w:rsid w:val="008D119E"/>
    <w:rsid w:val="008D4839"/>
    <w:rsid w:val="008D5482"/>
    <w:rsid w:val="008D65F9"/>
    <w:rsid w:val="008D67C8"/>
    <w:rsid w:val="008D7012"/>
    <w:rsid w:val="008E390E"/>
    <w:rsid w:val="008E3A54"/>
    <w:rsid w:val="008E53C8"/>
    <w:rsid w:val="008E5442"/>
    <w:rsid w:val="008E61D8"/>
    <w:rsid w:val="008E6D7A"/>
    <w:rsid w:val="008F01E2"/>
    <w:rsid w:val="008F20AD"/>
    <w:rsid w:val="008F38FD"/>
    <w:rsid w:val="008F6F00"/>
    <w:rsid w:val="008F6F4F"/>
    <w:rsid w:val="008F74A8"/>
    <w:rsid w:val="00903227"/>
    <w:rsid w:val="00904EB9"/>
    <w:rsid w:val="009105E3"/>
    <w:rsid w:val="00912087"/>
    <w:rsid w:val="00916BF4"/>
    <w:rsid w:val="00916E79"/>
    <w:rsid w:val="0092526D"/>
    <w:rsid w:val="00927B26"/>
    <w:rsid w:val="009337EE"/>
    <w:rsid w:val="009338B4"/>
    <w:rsid w:val="009345DD"/>
    <w:rsid w:val="009354A6"/>
    <w:rsid w:val="00935949"/>
    <w:rsid w:val="009361ED"/>
    <w:rsid w:val="00936E56"/>
    <w:rsid w:val="009377A9"/>
    <w:rsid w:val="00940256"/>
    <w:rsid w:val="00941FB6"/>
    <w:rsid w:val="009454BF"/>
    <w:rsid w:val="0094555E"/>
    <w:rsid w:val="00946470"/>
    <w:rsid w:val="009478CB"/>
    <w:rsid w:val="00951143"/>
    <w:rsid w:val="0095251E"/>
    <w:rsid w:val="00955069"/>
    <w:rsid w:val="009630AC"/>
    <w:rsid w:val="00963258"/>
    <w:rsid w:val="00963267"/>
    <w:rsid w:val="00963AE5"/>
    <w:rsid w:val="009648BE"/>
    <w:rsid w:val="009670D9"/>
    <w:rsid w:val="00967ADB"/>
    <w:rsid w:val="00967C6F"/>
    <w:rsid w:val="00970B5B"/>
    <w:rsid w:val="0097113C"/>
    <w:rsid w:val="009715D1"/>
    <w:rsid w:val="00971A6A"/>
    <w:rsid w:val="00974F24"/>
    <w:rsid w:val="009759A6"/>
    <w:rsid w:val="00976223"/>
    <w:rsid w:val="00976495"/>
    <w:rsid w:val="00977ED2"/>
    <w:rsid w:val="00980976"/>
    <w:rsid w:val="00981B3D"/>
    <w:rsid w:val="0098282B"/>
    <w:rsid w:val="00984D55"/>
    <w:rsid w:val="00985A09"/>
    <w:rsid w:val="0098706A"/>
    <w:rsid w:val="00987301"/>
    <w:rsid w:val="009902AC"/>
    <w:rsid w:val="0099286E"/>
    <w:rsid w:val="00993C92"/>
    <w:rsid w:val="00994911"/>
    <w:rsid w:val="00994C85"/>
    <w:rsid w:val="00994CE1"/>
    <w:rsid w:val="00995073"/>
    <w:rsid w:val="0099554B"/>
    <w:rsid w:val="00995554"/>
    <w:rsid w:val="00996493"/>
    <w:rsid w:val="009966F2"/>
    <w:rsid w:val="009A17A8"/>
    <w:rsid w:val="009A552D"/>
    <w:rsid w:val="009B2E2B"/>
    <w:rsid w:val="009B2F76"/>
    <w:rsid w:val="009B4CB5"/>
    <w:rsid w:val="009B7DC3"/>
    <w:rsid w:val="009C16F5"/>
    <w:rsid w:val="009C37E6"/>
    <w:rsid w:val="009C7EB1"/>
    <w:rsid w:val="009D0B86"/>
    <w:rsid w:val="009D2DEE"/>
    <w:rsid w:val="009D33F5"/>
    <w:rsid w:val="009D58DF"/>
    <w:rsid w:val="009D6354"/>
    <w:rsid w:val="009D758C"/>
    <w:rsid w:val="009D7F7F"/>
    <w:rsid w:val="009E03C4"/>
    <w:rsid w:val="009E4163"/>
    <w:rsid w:val="009E47A9"/>
    <w:rsid w:val="009F1CF8"/>
    <w:rsid w:val="009F1ED4"/>
    <w:rsid w:val="009F2337"/>
    <w:rsid w:val="009F2FE3"/>
    <w:rsid w:val="009F3682"/>
    <w:rsid w:val="009F48F8"/>
    <w:rsid w:val="009F569A"/>
    <w:rsid w:val="009F7477"/>
    <w:rsid w:val="009F77AF"/>
    <w:rsid w:val="009F7907"/>
    <w:rsid w:val="009F7CCE"/>
    <w:rsid w:val="00A01434"/>
    <w:rsid w:val="00A037F8"/>
    <w:rsid w:val="00A04985"/>
    <w:rsid w:val="00A04EBD"/>
    <w:rsid w:val="00A055D0"/>
    <w:rsid w:val="00A060E4"/>
    <w:rsid w:val="00A0671A"/>
    <w:rsid w:val="00A07D76"/>
    <w:rsid w:val="00A15A6B"/>
    <w:rsid w:val="00A2041D"/>
    <w:rsid w:val="00A24FCD"/>
    <w:rsid w:val="00A27DAB"/>
    <w:rsid w:val="00A30FAA"/>
    <w:rsid w:val="00A31C31"/>
    <w:rsid w:val="00A336FF"/>
    <w:rsid w:val="00A41070"/>
    <w:rsid w:val="00A411EE"/>
    <w:rsid w:val="00A437B6"/>
    <w:rsid w:val="00A46CEE"/>
    <w:rsid w:val="00A47832"/>
    <w:rsid w:val="00A53819"/>
    <w:rsid w:val="00A53CA6"/>
    <w:rsid w:val="00A57D66"/>
    <w:rsid w:val="00A57F9F"/>
    <w:rsid w:val="00A612F1"/>
    <w:rsid w:val="00A629BF"/>
    <w:rsid w:val="00A62DD1"/>
    <w:rsid w:val="00A630A9"/>
    <w:rsid w:val="00A63495"/>
    <w:rsid w:val="00A64168"/>
    <w:rsid w:val="00A66973"/>
    <w:rsid w:val="00A676EA"/>
    <w:rsid w:val="00A73BDA"/>
    <w:rsid w:val="00A8084B"/>
    <w:rsid w:val="00A80877"/>
    <w:rsid w:val="00A820C0"/>
    <w:rsid w:val="00A82B9F"/>
    <w:rsid w:val="00A85DDB"/>
    <w:rsid w:val="00A86D73"/>
    <w:rsid w:val="00A93A1B"/>
    <w:rsid w:val="00A94B30"/>
    <w:rsid w:val="00A969C1"/>
    <w:rsid w:val="00A972A4"/>
    <w:rsid w:val="00AA0A80"/>
    <w:rsid w:val="00AA23B4"/>
    <w:rsid w:val="00AA2B09"/>
    <w:rsid w:val="00AA33C3"/>
    <w:rsid w:val="00AA3901"/>
    <w:rsid w:val="00AA5EBF"/>
    <w:rsid w:val="00AA62F5"/>
    <w:rsid w:val="00AA6CAE"/>
    <w:rsid w:val="00AA73FA"/>
    <w:rsid w:val="00AB09B5"/>
    <w:rsid w:val="00AB1491"/>
    <w:rsid w:val="00AB442C"/>
    <w:rsid w:val="00AB54C4"/>
    <w:rsid w:val="00AC0728"/>
    <w:rsid w:val="00AC3C91"/>
    <w:rsid w:val="00AC43D0"/>
    <w:rsid w:val="00AC5127"/>
    <w:rsid w:val="00AD3063"/>
    <w:rsid w:val="00AD4579"/>
    <w:rsid w:val="00AD66F6"/>
    <w:rsid w:val="00AE0415"/>
    <w:rsid w:val="00AE24A1"/>
    <w:rsid w:val="00AE5A7B"/>
    <w:rsid w:val="00AE6721"/>
    <w:rsid w:val="00AE67FC"/>
    <w:rsid w:val="00AE7F20"/>
    <w:rsid w:val="00AF004C"/>
    <w:rsid w:val="00AF132A"/>
    <w:rsid w:val="00AF16A8"/>
    <w:rsid w:val="00AF42A4"/>
    <w:rsid w:val="00AF5629"/>
    <w:rsid w:val="00AF6B21"/>
    <w:rsid w:val="00B01529"/>
    <w:rsid w:val="00B02DF8"/>
    <w:rsid w:val="00B041C3"/>
    <w:rsid w:val="00B07A39"/>
    <w:rsid w:val="00B109E6"/>
    <w:rsid w:val="00B13520"/>
    <w:rsid w:val="00B17D95"/>
    <w:rsid w:val="00B17FA7"/>
    <w:rsid w:val="00B204D2"/>
    <w:rsid w:val="00B224E9"/>
    <w:rsid w:val="00B234BF"/>
    <w:rsid w:val="00B237F1"/>
    <w:rsid w:val="00B23D59"/>
    <w:rsid w:val="00B264B8"/>
    <w:rsid w:val="00B276C2"/>
    <w:rsid w:val="00B279A6"/>
    <w:rsid w:val="00B3045C"/>
    <w:rsid w:val="00B351A8"/>
    <w:rsid w:val="00B35B2A"/>
    <w:rsid w:val="00B36142"/>
    <w:rsid w:val="00B37747"/>
    <w:rsid w:val="00B41845"/>
    <w:rsid w:val="00B45C20"/>
    <w:rsid w:val="00B46842"/>
    <w:rsid w:val="00B50016"/>
    <w:rsid w:val="00B514BC"/>
    <w:rsid w:val="00B5407B"/>
    <w:rsid w:val="00B55738"/>
    <w:rsid w:val="00B5660D"/>
    <w:rsid w:val="00B568D8"/>
    <w:rsid w:val="00B56AF6"/>
    <w:rsid w:val="00B56EEF"/>
    <w:rsid w:val="00B5788B"/>
    <w:rsid w:val="00B6296F"/>
    <w:rsid w:val="00B651B7"/>
    <w:rsid w:val="00B6571D"/>
    <w:rsid w:val="00B65B63"/>
    <w:rsid w:val="00B6697B"/>
    <w:rsid w:val="00B66B47"/>
    <w:rsid w:val="00B71128"/>
    <w:rsid w:val="00B726A1"/>
    <w:rsid w:val="00B72E53"/>
    <w:rsid w:val="00B7554E"/>
    <w:rsid w:val="00B764AF"/>
    <w:rsid w:val="00B814A9"/>
    <w:rsid w:val="00B82418"/>
    <w:rsid w:val="00B826E7"/>
    <w:rsid w:val="00B85382"/>
    <w:rsid w:val="00B864B6"/>
    <w:rsid w:val="00B878DE"/>
    <w:rsid w:val="00B90603"/>
    <w:rsid w:val="00B92187"/>
    <w:rsid w:val="00B92312"/>
    <w:rsid w:val="00B93B69"/>
    <w:rsid w:val="00B942EF"/>
    <w:rsid w:val="00B95D34"/>
    <w:rsid w:val="00BA04B8"/>
    <w:rsid w:val="00BA0887"/>
    <w:rsid w:val="00BA104F"/>
    <w:rsid w:val="00BA5E4C"/>
    <w:rsid w:val="00BA6C68"/>
    <w:rsid w:val="00BB0313"/>
    <w:rsid w:val="00BB05A9"/>
    <w:rsid w:val="00BB0AFE"/>
    <w:rsid w:val="00BB40D4"/>
    <w:rsid w:val="00BC1ABB"/>
    <w:rsid w:val="00BC2057"/>
    <w:rsid w:val="00BC238E"/>
    <w:rsid w:val="00BC2CC8"/>
    <w:rsid w:val="00BC3A77"/>
    <w:rsid w:val="00BC3D1E"/>
    <w:rsid w:val="00BD177B"/>
    <w:rsid w:val="00BD3C32"/>
    <w:rsid w:val="00BD3E3F"/>
    <w:rsid w:val="00BD3EF9"/>
    <w:rsid w:val="00BD5572"/>
    <w:rsid w:val="00BD5BF2"/>
    <w:rsid w:val="00BD5C27"/>
    <w:rsid w:val="00BD7D48"/>
    <w:rsid w:val="00BD7EC2"/>
    <w:rsid w:val="00BE093A"/>
    <w:rsid w:val="00BE1A29"/>
    <w:rsid w:val="00BE1DC0"/>
    <w:rsid w:val="00BE2DB2"/>
    <w:rsid w:val="00BE5B6E"/>
    <w:rsid w:val="00BE6413"/>
    <w:rsid w:val="00BF06BF"/>
    <w:rsid w:val="00BF14EB"/>
    <w:rsid w:val="00BF171C"/>
    <w:rsid w:val="00BF195A"/>
    <w:rsid w:val="00C01CD7"/>
    <w:rsid w:val="00C01E3E"/>
    <w:rsid w:val="00C06CA8"/>
    <w:rsid w:val="00C07736"/>
    <w:rsid w:val="00C13BD3"/>
    <w:rsid w:val="00C13F7B"/>
    <w:rsid w:val="00C15EDD"/>
    <w:rsid w:val="00C205EA"/>
    <w:rsid w:val="00C217A6"/>
    <w:rsid w:val="00C21FE1"/>
    <w:rsid w:val="00C2338F"/>
    <w:rsid w:val="00C327EF"/>
    <w:rsid w:val="00C33F6D"/>
    <w:rsid w:val="00C37749"/>
    <w:rsid w:val="00C40FF6"/>
    <w:rsid w:val="00C420D2"/>
    <w:rsid w:val="00C42BCB"/>
    <w:rsid w:val="00C43F48"/>
    <w:rsid w:val="00C44937"/>
    <w:rsid w:val="00C478F8"/>
    <w:rsid w:val="00C47D0B"/>
    <w:rsid w:val="00C50FC8"/>
    <w:rsid w:val="00C51AF5"/>
    <w:rsid w:val="00C55722"/>
    <w:rsid w:val="00C56B04"/>
    <w:rsid w:val="00C60F47"/>
    <w:rsid w:val="00C64E50"/>
    <w:rsid w:val="00C6578D"/>
    <w:rsid w:val="00C66590"/>
    <w:rsid w:val="00C67C90"/>
    <w:rsid w:val="00C67E83"/>
    <w:rsid w:val="00C70BB8"/>
    <w:rsid w:val="00C7143E"/>
    <w:rsid w:val="00C72250"/>
    <w:rsid w:val="00C75235"/>
    <w:rsid w:val="00C75F25"/>
    <w:rsid w:val="00C76035"/>
    <w:rsid w:val="00C812D1"/>
    <w:rsid w:val="00C819BC"/>
    <w:rsid w:val="00C8253B"/>
    <w:rsid w:val="00C90BD5"/>
    <w:rsid w:val="00C9386E"/>
    <w:rsid w:val="00C96A5B"/>
    <w:rsid w:val="00C96D7A"/>
    <w:rsid w:val="00CA1545"/>
    <w:rsid w:val="00CA31D5"/>
    <w:rsid w:val="00CA4247"/>
    <w:rsid w:val="00CA632B"/>
    <w:rsid w:val="00CA70A0"/>
    <w:rsid w:val="00CA7EEB"/>
    <w:rsid w:val="00CB0296"/>
    <w:rsid w:val="00CB1EAD"/>
    <w:rsid w:val="00CB2FE7"/>
    <w:rsid w:val="00CB3009"/>
    <w:rsid w:val="00CB6C5A"/>
    <w:rsid w:val="00CC18AE"/>
    <w:rsid w:val="00CC44A6"/>
    <w:rsid w:val="00CC5C41"/>
    <w:rsid w:val="00CC6490"/>
    <w:rsid w:val="00CD0244"/>
    <w:rsid w:val="00CD0BC0"/>
    <w:rsid w:val="00CD1D69"/>
    <w:rsid w:val="00CD515F"/>
    <w:rsid w:val="00CE1A54"/>
    <w:rsid w:val="00CE1E73"/>
    <w:rsid w:val="00CE307F"/>
    <w:rsid w:val="00CE53CD"/>
    <w:rsid w:val="00CE5751"/>
    <w:rsid w:val="00CE5F6A"/>
    <w:rsid w:val="00CE77A5"/>
    <w:rsid w:val="00CE7C59"/>
    <w:rsid w:val="00CF0429"/>
    <w:rsid w:val="00CF0C02"/>
    <w:rsid w:val="00CF3E5B"/>
    <w:rsid w:val="00CF428E"/>
    <w:rsid w:val="00CF666C"/>
    <w:rsid w:val="00D0171B"/>
    <w:rsid w:val="00D01891"/>
    <w:rsid w:val="00D036C1"/>
    <w:rsid w:val="00D05840"/>
    <w:rsid w:val="00D05D0D"/>
    <w:rsid w:val="00D071C7"/>
    <w:rsid w:val="00D104C6"/>
    <w:rsid w:val="00D10663"/>
    <w:rsid w:val="00D10C66"/>
    <w:rsid w:val="00D1117A"/>
    <w:rsid w:val="00D1329C"/>
    <w:rsid w:val="00D14CF2"/>
    <w:rsid w:val="00D15290"/>
    <w:rsid w:val="00D15868"/>
    <w:rsid w:val="00D16B8E"/>
    <w:rsid w:val="00D22E2D"/>
    <w:rsid w:val="00D2428C"/>
    <w:rsid w:val="00D2731F"/>
    <w:rsid w:val="00D32BA6"/>
    <w:rsid w:val="00D3463D"/>
    <w:rsid w:val="00D37C4A"/>
    <w:rsid w:val="00D402E6"/>
    <w:rsid w:val="00D410CD"/>
    <w:rsid w:val="00D42E88"/>
    <w:rsid w:val="00D43A14"/>
    <w:rsid w:val="00D451A0"/>
    <w:rsid w:val="00D51AC4"/>
    <w:rsid w:val="00D54689"/>
    <w:rsid w:val="00D55192"/>
    <w:rsid w:val="00D56113"/>
    <w:rsid w:val="00D61956"/>
    <w:rsid w:val="00D61C95"/>
    <w:rsid w:val="00D647EA"/>
    <w:rsid w:val="00D672B6"/>
    <w:rsid w:val="00D6766E"/>
    <w:rsid w:val="00D71F12"/>
    <w:rsid w:val="00D73E7F"/>
    <w:rsid w:val="00D808AB"/>
    <w:rsid w:val="00D80D1C"/>
    <w:rsid w:val="00D8317F"/>
    <w:rsid w:val="00D832F6"/>
    <w:rsid w:val="00D844CB"/>
    <w:rsid w:val="00D85249"/>
    <w:rsid w:val="00D913D3"/>
    <w:rsid w:val="00D96DB8"/>
    <w:rsid w:val="00DA29F9"/>
    <w:rsid w:val="00DA2B66"/>
    <w:rsid w:val="00DA3ED3"/>
    <w:rsid w:val="00DA49E4"/>
    <w:rsid w:val="00DB1358"/>
    <w:rsid w:val="00DB35AF"/>
    <w:rsid w:val="00DB3DD1"/>
    <w:rsid w:val="00DC1B6E"/>
    <w:rsid w:val="00DC23F8"/>
    <w:rsid w:val="00DC2413"/>
    <w:rsid w:val="00DC3213"/>
    <w:rsid w:val="00DC5930"/>
    <w:rsid w:val="00DC71CA"/>
    <w:rsid w:val="00DC7EED"/>
    <w:rsid w:val="00DD18F0"/>
    <w:rsid w:val="00DD1AC6"/>
    <w:rsid w:val="00DD3C6C"/>
    <w:rsid w:val="00DD411F"/>
    <w:rsid w:val="00DD6000"/>
    <w:rsid w:val="00DD7132"/>
    <w:rsid w:val="00DD7216"/>
    <w:rsid w:val="00DE22C1"/>
    <w:rsid w:val="00DE294B"/>
    <w:rsid w:val="00DE2A5C"/>
    <w:rsid w:val="00DE33B8"/>
    <w:rsid w:val="00DE4B4C"/>
    <w:rsid w:val="00DE54D3"/>
    <w:rsid w:val="00DE5F0D"/>
    <w:rsid w:val="00DE71EC"/>
    <w:rsid w:val="00DE7952"/>
    <w:rsid w:val="00DF02BC"/>
    <w:rsid w:val="00DF04BD"/>
    <w:rsid w:val="00DF0BDA"/>
    <w:rsid w:val="00DF270D"/>
    <w:rsid w:val="00DF35B2"/>
    <w:rsid w:val="00DF5A48"/>
    <w:rsid w:val="00DF6485"/>
    <w:rsid w:val="00DF6B65"/>
    <w:rsid w:val="00E03720"/>
    <w:rsid w:val="00E047ED"/>
    <w:rsid w:val="00E0624A"/>
    <w:rsid w:val="00E062EC"/>
    <w:rsid w:val="00E07240"/>
    <w:rsid w:val="00E0726B"/>
    <w:rsid w:val="00E0777E"/>
    <w:rsid w:val="00E10B6C"/>
    <w:rsid w:val="00E11431"/>
    <w:rsid w:val="00E12A75"/>
    <w:rsid w:val="00E1411B"/>
    <w:rsid w:val="00E14998"/>
    <w:rsid w:val="00E1790E"/>
    <w:rsid w:val="00E2486C"/>
    <w:rsid w:val="00E26387"/>
    <w:rsid w:val="00E26722"/>
    <w:rsid w:val="00E26D5B"/>
    <w:rsid w:val="00E30D93"/>
    <w:rsid w:val="00E30F07"/>
    <w:rsid w:val="00E32044"/>
    <w:rsid w:val="00E33300"/>
    <w:rsid w:val="00E340E7"/>
    <w:rsid w:val="00E35E18"/>
    <w:rsid w:val="00E40016"/>
    <w:rsid w:val="00E409C3"/>
    <w:rsid w:val="00E43B7E"/>
    <w:rsid w:val="00E4424D"/>
    <w:rsid w:val="00E46123"/>
    <w:rsid w:val="00E5011B"/>
    <w:rsid w:val="00E50CF4"/>
    <w:rsid w:val="00E50E36"/>
    <w:rsid w:val="00E5157B"/>
    <w:rsid w:val="00E523BF"/>
    <w:rsid w:val="00E56AB3"/>
    <w:rsid w:val="00E65696"/>
    <w:rsid w:val="00E659D9"/>
    <w:rsid w:val="00E66909"/>
    <w:rsid w:val="00E674E8"/>
    <w:rsid w:val="00E67569"/>
    <w:rsid w:val="00E7059C"/>
    <w:rsid w:val="00E7091D"/>
    <w:rsid w:val="00E70ECF"/>
    <w:rsid w:val="00E71175"/>
    <w:rsid w:val="00E718C8"/>
    <w:rsid w:val="00E72B86"/>
    <w:rsid w:val="00E74975"/>
    <w:rsid w:val="00E74D52"/>
    <w:rsid w:val="00E75693"/>
    <w:rsid w:val="00E764CA"/>
    <w:rsid w:val="00E86644"/>
    <w:rsid w:val="00E874FB"/>
    <w:rsid w:val="00E877DF"/>
    <w:rsid w:val="00E87D73"/>
    <w:rsid w:val="00E90CA8"/>
    <w:rsid w:val="00E92220"/>
    <w:rsid w:val="00E970AF"/>
    <w:rsid w:val="00EA1166"/>
    <w:rsid w:val="00EA1233"/>
    <w:rsid w:val="00EA29AC"/>
    <w:rsid w:val="00EA3387"/>
    <w:rsid w:val="00EA7E97"/>
    <w:rsid w:val="00EB1D31"/>
    <w:rsid w:val="00EB2DD6"/>
    <w:rsid w:val="00EB3F25"/>
    <w:rsid w:val="00EB6D53"/>
    <w:rsid w:val="00EB6EA5"/>
    <w:rsid w:val="00EB71C8"/>
    <w:rsid w:val="00EC0F1B"/>
    <w:rsid w:val="00EC46B8"/>
    <w:rsid w:val="00EC4EC0"/>
    <w:rsid w:val="00EC6E7D"/>
    <w:rsid w:val="00EC7FE9"/>
    <w:rsid w:val="00ED0D5A"/>
    <w:rsid w:val="00ED1321"/>
    <w:rsid w:val="00ED79C4"/>
    <w:rsid w:val="00EE106A"/>
    <w:rsid w:val="00EE127F"/>
    <w:rsid w:val="00EE1F10"/>
    <w:rsid w:val="00EE48B6"/>
    <w:rsid w:val="00EE7EED"/>
    <w:rsid w:val="00EF0C75"/>
    <w:rsid w:val="00EF1FE7"/>
    <w:rsid w:val="00EF30FE"/>
    <w:rsid w:val="00EF4190"/>
    <w:rsid w:val="00EF4E77"/>
    <w:rsid w:val="00EF697D"/>
    <w:rsid w:val="00F02D72"/>
    <w:rsid w:val="00F038F9"/>
    <w:rsid w:val="00F07CBC"/>
    <w:rsid w:val="00F11AD9"/>
    <w:rsid w:val="00F11BA8"/>
    <w:rsid w:val="00F122B5"/>
    <w:rsid w:val="00F13644"/>
    <w:rsid w:val="00F13E56"/>
    <w:rsid w:val="00F17639"/>
    <w:rsid w:val="00F20B19"/>
    <w:rsid w:val="00F20B83"/>
    <w:rsid w:val="00F20FB9"/>
    <w:rsid w:val="00F21A4B"/>
    <w:rsid w:val="00F22CD0"/>
    <w:rsid w:val="00F240E9"/>
    <w:rsid w:val="00F250B1"/>
    <w:rsid w:val="00F269C2"/>
    <w:rsid w:val="00F30363"/>
    <w:rsid w:val="00F30B56"/>
    <w:rsid w:val="00F32289"/>
    <w:rsid w:val="00F3290B"/>
    <w:rsid w:val="00F34161"/>
    <w:rsid w:val="00F36E03"/>
    <w:rsid w:val="00F37D09"/>
    <w:rsid w:val="00F43DCA"/>
    <w:rsid w:val="00F446DE"/>
    <w:rsid w:val="00F45F3D"/>
    <w:rsid w:val="00F462E1"/>
    <w:rsid w:val="00F5045E"/>
    <w:rsid w:val="00F50F77"/>
    <w:rsid w:val="00F54391"/>
    <w:rsid w:val="00F554AE"/>
    <w:rsid w:val="00F55955"/>
    <w:rsid w:val="00F5656B"/>
    <w:rsid w:val="00F63802"/>
    <w:rsid w:val="00F64F6F"/>
    <w:rsid w:val="00F709E7"/>
    <w:rsid w:val="00F70BCE"/>
    <w:rsid w:val="00F71927"/>
    <w:rsid w:val="00F73985"/>
    <w:rsid w:val="00F7573D"/>
    <w:rsid w:val="00F7607F"/>
    <w:rsid w:val="00F76EB4"/>
    <w:rsid w:val="00F800D3"/>
    <w:rsid w:val="00F80ADE"/>
    <w:rsid w:val="00F80D00"/>
    <w:rsid w:val="00F830BC"/>
    <w:rsid w:val="00F83550"/>
    <w:rsid w:val="00F8373C"/>
    <w:rsid w:val="00F85909"/>
    <w:rsid w:val="00F85B0B"/>
    <w:rsid w:val="00F85D71"/>
    <w:rsid w:val="00F86534"/>
    <w:rsid w:val="00F879DD"/>
    <w:rsid w:val="00F91065"/>
    <w:rsid w:val="00F925F5"/>
    <w:rsid w:val="00F92B35"/>
    <w:rsid w:val="00F9574D"/>
    <w:rsid w:val="00F9594D"/>
    <w:rsid w:val="00F96F38"/>
    <w:rsid w:val="00F97700"/>
    <w:rsid w:val="00FA2BCF"/>
    <w:rsid w:val="00FA40EE"/>
    <w:rsid w:val="00FA6B4D"/>
    <w:rsid w:val="00FA78E7"/>
    <w:rsid w:val="00FA7FEB"/>
    <w:rsid w:val="00FB0971"/>
    <w:rsid w:val="00FB0FAD"/>
    <w:rsid w:val="00FB104D"/>
    <w:rsid w:val="00FB144C"/>
    <w:rsid w:val="00FB14F5"/>
    <w:rsid w:val="00FB201F"/>
    <w:rsid w:val="00FB34FD"/>
    <w:rsid w:val="00FB4F9C"/>
    <w:rsid w:val="00FB77C6"/>
    <w:rsid w:val="00FD1493"/>
    <w:rsid w:val="00FD14ED"/>
    <w:rsid w:val="00FD3736"/>
    <w:rsid w:val="00FD4BE8"/>
    <w:rsid w:val="00FD7EAF"/>
    <w:rsid w:val="00FE451F"/>
    <w:rsid w:val="00FE6533"/>
    <w:rsid w:val="00FF1238"/>
    <w:rsid w:val="00FF1BD3"/>
    <w:rsid w:val="00FF231D"/>
    <w:rsid w:val="00FF473C"/>
    <w:rsid w:val="00FF58CC"/>
    <w:rsid w:val="00FF6ADC"/>
    <w:rsid w:val="00FF7168"/>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95A00"/>
  <w15:chartTrackingRefBased/>
  <w15:docId w15:val="{8FA52028-2601-49E4-A1F8-A84F82AF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8BE"/>
    <w:pPr>
      <w:spacing w:line="256" w:lineRule="auto"/>
    </w:pPr>
    <w:rPr>
      <w:lang w:val="en-US"/>
    </w:rPr>
  </w:style>
  <w:style w:type="paragraph" w:styleId="Heading1">
    <w:name w:val="heading 1"/>
    <w:basedOn w:val="Normal"/>
    <w:next w:val="Normal"/>
    <w:link w:val="Heading1Char"/>
    <w:uiPriority w:val="9"/>
    <w:qFormat/>
    <w:rsid w:val="009648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E19F2"/>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B0A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B0AF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93B6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8BE"/>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9648BE"/>
    <w:pPr>
      <w:ind w:left="720"/>
      <w:contextualSpacing/>
    </w:pPr>
  </w:style>
  <w:style w:type="character" w:styleId="CommentReference">
    <w:name w:val="annotation reference"/>
    <w:basedOn w:val="DefaultParagraphFont"/>
    <w:uiPriority w:val="99"/>
    <w:semiHidden/>
    <w:unhideWhenUsed/>
    <w:rsid w:val="00815A72"/>
    <w:rPr>
      <w:sz w:val="16"/>
      <w:szCs w:val="16"/>
    </w:rPr>
  </w:style>
  <w:style w:type="paragraph" w:styleId="CommentText">
    <w:name w:val="annotation text"/>
    <w:basedOn w:val="Normal"/>
    <w:link w:val="CommentTextChar"/>
    <w:uiPriority w:val="99"/>
    <w:unhideWhenUsed/>
    <w:rsid w:val="00815A72"/>
    <w:pPr>
      <w:spacing w:line="240" w:lineRule="auto"/>
    </w:pPr>
    <w:rPr>
      <w:sz w:val="20"/>
      <w:szCs w:val="20"/>
    </w:rPr>
  </w:style>
  <w:style w:type="character" w:customStyle="1" w:styleId="CommentTextChar">
    <w:name w:val="Comment Text Char"/>
    <w:basedOn w:val="DefaultParagraphFont"/>
    <w:link w:val="CommentText"/>
    <w:uiPriority w:val="99"/>
    <w:rsid w:val="00815A72"/>
    <w:rPr>
      <w:sz w:val="20"/>
      <w:szCs w:val="20"/>
      <w:lang w:val="en-US"/>
    </w:rPr>
  </w:style>
  <w:style w:type="paragraph" w:styleId="CommentSubject">
    <w:name w:val="annotation subject"/>
    <w:basedOn w:val="CommentText"/>
    <w:next w:val="CommentText"/>
    <w:link w:val="CommentSubjectChar"/>
    <w:uiPriority w:val="99"/>
    <w:semiHidden/>
    <w:unhideWhenUsed/>
    <w:rsid w:val="00815A72"/>
    <w:rPr>
      <w:b/>
      <w:bCs/>
    </w:rPr>
  </w:style>
  <w:style w:type="character" w:customStyle="1" w:styleId="CommentSubjectChar">
    <w:name w:val="Comment Subject Char"/>
    <w:basedOn w:val="CommentTextChar"/>
    <w:link w:val="CommentSubject"/>
    <w:uiPriority w:val="99"/>
    <w:semiHidden/>
    <w:rsid w:val="00815A72"/>
    <w:rPr>
      <w:b/>
      <w:bCs/>
      <w:sz w:val="20"/>
      <w:szCs w:val="20"/>
      <w:lang w:val="en-US"/>
    </w:rPr>
  </w:style>
  <w:style w:type="character" w:customStyle="1" w:styleId="Heading2Char">
    <w:name w:val="Heading 2 Char"/>
    <w:basedOn w:val="DefaultParagraphFont"/>
    <w:link w:val="Heading2"/>
    <w:uiPriority w:val="9"/>
    <w:rsid w:val="001E19F2"/>
    <w:rPr>
      <w:rFonts w:asciiTheme="majorHAnsi" w:eastAsiaTheme="majorEastAsia" w:hAnsiTheme="majorHAnsi" w:cstheme="majorBidi"/>
      <w:color w:val="2F5496" w:themeColor="accent1" w:themeShade="BF"/>
      <w:sz w:val="26"/>
      <w:szCs w:val="26"/>
      <w:lang w:val="en-US"/>
    </w:rPr>
  </w:style>
  <w:style w:type="paragraph" w:styleId="NormalWeb">
    <w:name w:val="Normal (Web)"/>
    <w:basedOn w:val="Normal"/>
    <w:uiPriority w:val="99"/>
    <w:semiHidden/>
    <w:unhideWhenUsed/>
    <w:rsid w:val="001E19F2"/>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rsid w:val="00D451A0"/>
    <w:rPr>
      <w:color w:val="0563C1" w:themeColor="hyperlink"/>
      <w:u w:val="single"/>
    </w:rPr>
  </w:style>
  <w:style w:type="character" w:styleId="UnresolvedMention">
    <w:name w:val="Unresolved Mention"/>
    <w:basedOn w:val="DefaultParagraphFont"/>
    <w:uiPriority w:val="99"/>
    <w:semiHidden/>
    <w:unhideWhenUsed/>
    <w:rsid w:val="00D451A0"/>
    <w:rPr>
      <w:color w:val="605E5C"/>
      <w:shd w:val="clear" w:color="auto" w:fill="E1DFDD"/>
    </w:rPr>
  </w:style>
  <w:style w:type="character" w:styleId="FollowedHyperlink">
    <w:name w:val="FollowedHyperlink"/>
    <w:basedOn w:val="DefaultParagraphFont"/>
    <w:uiPriority w:val="99"/>
    <w:semiHidden/>
    <w:unhideWhenUsed/>
    <w:rsid w:val="004B3AD9"/>
    <w:rPr>
      <w:color w:val="954F72" w:themeColor="followedHyperlink"/>
      <w:u w:val="single"/>
    </w:rPr>
  </w:style>
  <w:style w:type="character" w:customStyle="1" w:styleId="Heading3Char">
    <w:name w:val="Heading 3 Char"/>
    <w:basedOn w:val="DefaultParagraphFont"/>
    <w:link w:val="Heading3"/>
    <w:uiPriority w:val="9"/>
    <w:rsid w:val="00BB0AFE"/>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rsid w:val="00BB0AFE"/>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rsid w:val="00B93B69"/>
    <w:rPr>
      <w:rFonts w:asciiTheme="majorHAnsi" w:eastAsiaTheme="majorEastAsia" w:hAnsiTheme="majorHAnsi" w:cstheme="majorBidi"/>
      <w:color w:val="2F5496" w:themeColor="accent1" w:themeShade="BF"/>
      <w:lang w:val="en-US"/>
    </w:rPr>
  </w:style>
  <w:style w:type="paragraph" w:styleId="Caption">
    <w:name w:val="caption"/>
    <w:basedOn w:val="Normal"/>
    <w:next w:val="Normal"/>
    <w:uiPriority w:val="35"/>
    <w:unhideWhenUsed/>
    <w:qFormat/>
    <w:rsid w:val="00B17FA7"/>
    <w:pPr>
      <w:spacing w:after="200" w:line="240" w:lineRule="auto"/>
    </w:pPr>
    <w:rPr>
      <w:i/>
      <w:iCs/>
      <w:color w:val="44546A" w:themeColor="text2"/>
      <w:sz w:val="18"/>
      <w:szCs w:val="18"/>
    </w:rPr>
  </w:style>
  <w:style w:type="character" w:customStyle="1" w:styleId="ng-binding">
    <w:name w:val="ng-binding"/>
    <w:basedOn w:val="DefaultParagraphFont"/>
    <w:rsid w:val="00127633"/>
  </w:style>
  <w:style w:type="paragraph" w:styleId="Revision">
    <w:name w:val="Revision"/>
    <w:hidden/>
    <w:uiPriority w:val="99"/>
    <w:semiHidden/>
    <w:rsid w:val="004109E2"/>
    <w:pPr>
      <w:spacing w:after="0" w:line="240" w:lineRule="auto"/>
    </w:pPr>
    <w:rPr>
      <w:lang w:val="en-US"/>
    </w:rPr>
  </w:style>
  <w:style w:type="paragraph" w:styleId="Header">
    <w:name w:val="header"/>
    <w:basedOn w:val="Normal"/>
    <w:link w:val="HeaderChar"/>
    <w:uiPriority w:val="99"/>
    <w:unhideWhenUsed/>
    <w:rsid w:val="008C32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2E4"/>
    <w:rPr>
      <w:lang w:val="en-US"/>
    </w:rPr>
  </w:style>
  <w:style w:type="paragraph" w:styleId="Footer">
    <w:name w:val="footer"/>
    <w:basedOn w:val="Normal"/>
    <w:link w:val="FooterChar"/>
    <w:uiPriority w:val="99"/>
    <w:unhideWhenUsed/>
    <w:rsid w:val="008C32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2E4"/>
    <w:rPr>
      <w:lang w:val="en-US"/>
    </w:rPr>
  </w:style>
  <w:style w:type="character" w:styleId="LineNumber">
    <w:name w:val="line number"/>
    <w:basedOn w:val="DefaultParagraphFont"/>
    <w:uiPriority w:val="99"/>
    <w:semiHidden/>
    <w:unhideWhenUsed/>
    <w:rsid w:val="009F2FE3"/>
  </w:style>
  <w:style w:type="character" w:customStyle="1" w:styleId="citation">
    <w:name w:val="citation"/>
    <w:basedOn w:val="DefaultParagraphFont"/>
    <w:rsid w:val="00B02DF8"/>
  </w:style>
  <w:style w:type="character" w:styleId="Emphasis">
    <w:name w:val="Emphasis"/>
    <w:basedOn w:val="DefaultParagraphFont"/>
    <w:uiPriority w:val="20"/>
    <w:qFormat/>
    <w:rsid w:val="00B02DF8"/>
    <w:rPr>
      <w:i/>
      <w:iCs/>
    </w:rPr>
  </w:style>
  <w:style w:type="paragraph" w:customStyle="1" w:styleId="gmail-msocommenttext">
    <w:name w:val="gmail-msocommenttext"/>
    <w:basedOn w:val="Normal"/>
    <w:rsid w:val="005F7F16"/>
    <w:pPr>
      <w:spacing w:before="100" w:beforeAutospacing="1" w:after="100" w:afterAutospacing="1" w:line="240" w:lineRule="auto"/>
    </w:pPr>
    <w:rPr>
      <w:rFonts w:ascii="Calibri" w:hAnsi="Calibri" w:cs="Calibri"/>
    </w:rPr>
  </w:style>
  <w:style w:type="character" w:customStyle="1" w:styleId="fontstyle01">
    <w:name w:val="fontstyle01"/>
    <w:basedOn w:val="DefaultParagraphFont"/>
    <w:rsid w:val="006A7147"/>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15530">
      <w:bodyDiv w:val="1"/>
      <w:marLeft w:val="0"/>
      <w:marRight w:val="0"/>
      <w:marTop w:val="0"/>
      <w:marBottom w:val="0"/>
      <w:divBdr>
        <w:top w:val="none" w:sz="0" w:space="0" w:color="auto"/>
        <w:left w:val="none" w:sz="0" w:space="0" w:color="auto"/>
        <w:bottom w:val="none" w:sz="0" w:space="0" w:color="auto"/>
        <w:right w:val="none" w:sz="0" w:space="0" w:color="auto"/>
      </w:divBdr>
    </w:div>
    <w:div w:id="111437518">
      <w:bodyDiv w:val="1"/>
      <w:marLeft w:val="0"/>
      <w:marRight w:val="0"/>
      <w:marTop w:val="0"/>
      <w:marBottom w:val="0"/>
      <w:divBdr>
        <w:top w:val="none" w:sz="0" w:space="0" w:color="auto"/>
        <w:left w:val="none" w:sz="0" w:space="0" w:color="auto"/>
        <w:bottom w:val="none" w:sz="0" w:space="0" w:color="auto"/>
        <w:right w:val="none" w:sz="0" w:space="0" w:color="auto"/>
      </w:divBdr>
    </w:div>
    <w:div w:id="137458412">
      <w:bodyDiv w:val="1"/>
      <w:marLeft w:val="0"/>
      <w:marRight w:val="0"/>
      <w:marTop w:val="0"/>
      <w:marBottom w:val="0"/>
      <w:divBdr>
        <w:top w:val="none" w:sz="0" w:space="0" w:color="auto"/>
        <w:left w:val="none" w:sz="0" w:space="0" w:color="auto"/>
        <w:bottom w:val="none" w:sz="0" w:space="0" w:color="auto"/>
        <w:right w:val="none" w:sz="0" w:space="0" w:color="auto"/>
      </w:divBdr>
    </w:div>
    <w:div w:id="274293670">
      <w:bodyDiv w:val="1"/>
      <w:marLeft w:val="0"/>
      <w:marRight w:val="0"/>
      <w:marTop w:val="0"/>
      <w:marBottom w:val="0"/>
      <w:divBdr>
        <w:top w:val="none" w:sz="0" w:space="0" w:color="auto"/>
        <w:left w:val="none" w:sz="0" w:space="0" w:color="auto"/>
        <w:bottom w:val="none" w:sz="0" w:space="0" w:color="auto"/>
        <w:right w:val="none" w:sz="0" w:space="0" w:color="auto"/>
      </w:divBdr>
    </w:div>
    <w:div w:id="352925495">
      <w:bodyDiv w:val="1"/>
      <w:marLeft w:val="0"/>
      <w:marRight w:val="0"/>
      <w:marTop w:val="0"/>
      <w:marBottom w:val="0"/>
      <w:divBdr>
        <w:top w:val="none" w:sz="0" w:space="0" w:color="auto"/>
        <w:left w:val="none" w:sz="0" w:space="0" w:color="auto"/>
        <w:bottom w:val="none" w:sz="0" w:space="0" w:color="auto"/>
        <w:right w:val="none" w:sz="0" w:space="0" w:color="auto"/>
      </w:divBdr>
    </w:div>
    <w:div w:id="427046767">
      <w:bodyDiv w:val="1"/>
      <w:marLeft w:val="0"/>
      <w:marRight w:val="0"/>
      <w:marTop w:val="0"/>
      <w:marBottom w:val="0"/>
      <w:divBdr>
        <w:top w:val="none" w:sz="0" w:space="0" w:color="auto"/>
        <w:left w:val="none" w:sz="0" w:space="0" w:color="auto"/>
        <w:bottom w:val="none" w:sz="0" w:space="0" w:color="auto"/>
        <w:right w:val="none" w:sz="0" w:space="0" w:color="auto"/>
      </w:divBdr>
    </w:div>
    <w:div w:id="496919896">
      <w:bodyDiv w:val="1"/>
      <w:marLeft w:val="0"/>
      <w:marRight w:val="0"/>
      <w:marTop w:val="0"/>
      <w:marBottom w:val="0"/>
      <w:divBdr>
        <w:top w:val="none" w:sz="0" w:space="0" w:color="auto"/>
        <w:left w:val="none" w:sz="0" w:space="0" w:color="auto"/>
        <w:bottom w:val="none" w:sz="0" w:space="0" w:color="auto"/>
        <w:right w:val="none" w:sz="0" w:space="0" w:color="auto"/>
      </w:divBdr>
    </w:div>
    <w:div w:id="572474058">
      <w:bodyDiv w:val="1"/>
      <w:marLeft w:val="0"/>
      <w:marRight w:val="0"/>
      <w:marTop w:val="0"/>
      <w:marBottom w:val="0"/>
      <w:divBdr>
        <w:top w:val="none" w:sz="0" w:space="0" w:color="auto"/>
        <w:left w:val="none" w:sz="0" w:space="0" w:color="auto"/>
        <w:bottom w:val="none" w:sz="0" w:space="0" w:color="auto"/>
        <w:right w:val="none" w:sz="0" w:space="0" w:color="auto"/>
      </w:divBdr>
    </w:div>
    <w:div w:id="588855276">
      <w:bodyDiv w:val="1"/>
      <w:marLeft w:val="0"/>
      <w:marRight w:val="0"/>
      <w:marTop w:val="0"/>
      <w:marBottom w:val="0"/>
      <w:divBdr>
        <w:top w:val="none" w:sz="0" w:space="0" w:color="auto"/>
        <w:left w:val="none" w:sz="0" w:space="0" w:color="auto"/>
        <w:bottom w:val="none" w:sz="0" w:space="0" w:color="auto"/>
        <w:right w:val="none" w:sz="0" w:space="0" w:color="auto"/>
      </w:divBdr>
    </w:div>
    <w:div w:id="596988340">
      <w:bodyDiv w:val="1"/>
      <w:marLeft w:val="0"/>
      <w:marRight w:val="0"/>
      <w:marTop w:val="0"/>
      <w:marBottom w:val="0"/>
      <w:divBdr>
        <w:top w:val="none" w:sz="0" w:space="0" w:color="auto"/>
        <w:left w:val="none" w:sz="0" w:space="0" w:color="auto"/>
        <w:bottom w:val="none" w:sz="0" w:space="0" w:color="auto"/>
        <w:right w:val="none" w:sz="0" w:space="0" w:color="auto"/>
      </w:divBdr>
    </w:div>
    <w:div w:id="640581395">
      <w:bodyDiv w:val="1"/>
      <w:marLeft w:val="0"/>
      <w:marRight w:val="0"/>
      <w:marTop w:val="0"/>
      <w:marBottom w:val="0"/>
      <w:divBdr>
        <w:top w:val="none" w:sz="0" w:space="0" w:color="auto"/>
        <w:left w:val="none" w:sz="0" w:space="0" w:color="auto"/>
        <w:bottom w:val="none" w:sz="0" w:space="0" w:color="auto"/>
        <w:right w:val="none" w:sz="0" w:space="0" w:color="auto"/>
      </w:divBdr>
      <w:divsChild>
        <w:div w:id="1832404064">
          <w:marLeft w:val="0"/>
          <w:marRight w:val="0"/>
          <w:marTop w:val="0"/>
          <w:marBottom w:val="0"/>
          <w:divBdr>
            <w:top w:val="none" w:sz="0" w:space="0" w:color="auto"/>
            <w:left w:val="none" w:sz="0" w:space="0" w:color="auto"/>
            <w:bottom w:val="none" w:sz="0" w:space="0" w:color="auto"/>
            <w:right w:val="none" w:sz="0" w:space="0" w:color="auto"/>
          </w:divBdr>
          <w:divsChild>
            <w:div w:id="191501693">
              <w:marLeft w:val="0"/>
              <w:marRight w:val="0"/>
              <w:marTop w:val="0"/>
              <w:marBottom w:val="0"/>
              <w:divBdr>
                <w:top w:val="none" w:sz="0" w:space="0" w:color="auto"/>
                <w:left w:val="none" w:sz="0" w:space="0" w:color="auto"/>
                <w:bottom w:val="none" w:sz="0" w:space="0" w:color="auto"/>
                <w:right w:val="none" w:sz="0" w:space="0" w:color="auto"/>
              </w:divBdr>
              <w:divsChild>
                <w:div w:id="1413621232">
                  <w:marLeft w:val="0"/>
                  <w:marRight w:val="0"/>
                  <w:marTop w:val="0"/>
                  <w:marBottom w:val="0"/>
                  <w:divBdr>
                    <w:top w:val="none" w:sz="0" w:space="0" w:color="auto"/>
                    <w:left w:val="none" w:sz="0" w:space="0" w:color="auto"/>
                    <w:bottom w:val="none" w:sz="0" w:space="0" w:color="auto"/>
                    <w:right w:val="none" w:sz="0" w:space="0" w:color="auto"/>
                  </w:divBdr>
                  <w:divsChild>
                    <w:div w:id="519126519">
                      <w:marLeft w:val="0"/>
                      <w:marRight w:val="0"/>
                      <w:marTop w:val="0"/>
                      <w:marBottom w:val="0"/>
                      <w:divBdr>
                        <w:top w:val="none" w:sz="0" w:space="0" w:color="auto"/>
                        <w:left w:val="none" w:sz="0" w:space="0" w:color="auto"/>
                        <w:bottom w:val="none" w:sz="0" w:space="0" w:color="auto"/>
                        <w:right w:val="none" w:sz="0" w:space="0" w:color="auto"/>
                      </w:divBdr>
                      <w:divsChild>
                        <w:div w:id="211262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494978">
      <w:bodyDiv w:val="1"/>
      <w:marLeft w:val="0"/>
      <w:marRight w:val="0"/>
      <w:marTop w:val="0"/>
      <w:marBottom w:val="0"/>
      <w:divBdr>
        <w:top w:val="none" w:sz="0" w:space="0" w:color="auto"/>
        <w:left w:val="none" w:sz="0" w:space="0" w:color="auto"/>
        <w:bottom w:val="none" w:sz="0" w:space="0" w:color="auto"/>
        <w:right w:val="none" w:sz="0" w:space="0" w:color="auto"/>
      </w:divBdr>
    </w:div>
    <w:div w:id="711878944">
      <w:bodyDiv w:val="1"/>
      <w:marLeft w:val="0"/>
      <w:marRight w:val="0"/>
      <w:marTop w:val="0"/>
      <w:marBottom w:val="0"/>
      <w:divBdr>
        <w:top w:val="none" w:sz="0" w:space="0" w:color="auto"/>
        <w:left w:val="none" w:sz="0" w:space="0" w:color="auto"/>
        <w:bottom w:val="none" w:sz="0" w:space="0" w:color="auto"/>
        <w:right w:val="none" w:sz="0" w:space="0" w:color="auto"/>
      </w:divBdr>
    </w:div>
    <w:div w:id="722218615">
      <w:bodyDiv w:val="1"/>
      <w:marLeft w:val="0"/>
      <w:marRight w:val="0"/>
      <w:marTop w:val="0"/>
      <w:marBottom w:val="0"/>
      <w:divBdr>
        <w:top w:val="none" w:sz="0" w:space="0" w:color="auto"/>
        <w:left w:val="none" w:sz="0" w:space="0" w:color="auto"/>
        <w:bottom w:val="none" w:sz="0" w:space="0" w:color="auto"/>
        <w:right w:val="none" w:sz="0" w:space="0" w:color="auto"/>
      </w:divBdr>
    </w:div>
    <w:div w:id="735005914">
      <w:bodyDiv w:val="1"/>
      <w:marLeft w:val="0"/>
      <w:marRight w:val="0"/>
      <w:marTop w:val="0"/>
      <w:marBottom w:val="0"/>
      <w:divBdr>
        <w:top w:val="none" w:sz="0" w:space="0" w:color="auto"/>
        <w:left w:val="none" w:sz="0" w:space="0" w:color="auto"/>
        <w:bottom w:val="none" w:sz="0" w:space="0" w:color="auto"/>
        <w:right w:val="none" w:sz="0" w:space="0" w:color="auto"/>
      </w:divBdr>
    </w:div>
    <w:div w:id="774448098">
      <w:bodyDiv w:val="1"/>
      <w:marLeft w:val="0"/>
      <w:marRight w:val="0"/>
      <w:marTop w:val="0"/>
      <w:marBottom w:val="0"/>
      <w:divBdr>
        <w:top w:val="none" w:sz="0" w:space="0" w:color="auto"/>
        <w:left w:val="none" w:sz="0" w:space="0" w:color="auto"/>
        <w:bottom w:val="none" w:sz="0" w:space="0" w:color="auto"/>
        <w:right w:val="none" w:sz="0" w:space="0" w:color="auto"/>
      </w:divBdr>
    </w:div>
    <w:div w:id="782304887">
      <w:bodyDiv w:val="1"/>
      <w:marLeft w:val="0"/>
      <w:marRight w:val="0"/>
      <w:marTop w:val="0"/>
      <w:marBottom w:val="0"/>
      <w:divBdr>
        <w:top w:val="none" w:sz="0" w:space="0" w:color="auto"/>
        <w:left w:val="none" w:sz="0" w:space="0" w:color="auto"/>
        <w:bottom w:val="none" w:sz="0" w:space="0" w:color="auto"/>
        <w:right w:val="none" w:sz="0" w:space="0" w:color="auto"/>
      </w:divBdr>
    </w:div>
    <w:div w:id="792017924">
      <w:bodyDiv w:val="1"/>
      <w:marLeft w:val="0"/>
      <w:marRight w:val="0"/>
      <w:marTop w:val="0"/>
      <w:marBottom w:val="0"/>
      <w:divBdr>
        <w:top w:val="none" w:sz="0" w:space="0" w:color="auto"/>
        <w:left w:val="none" w:sz="0" w:space="0" w:color="auto"/>
        <w:bottom w:val="none" w:sz="0" w:space="0" w:color="auto"/>
        <w:right w:val="none" w:sz="0" w:space="0" w:color="auto"/>
      </w:divBdr>
    </w:div>
    <w:div w:id="838081537">
      <w:bodyDiv w:val="1"/>
      <w:marLeft w:val="0"/>
      <w:marRight w:val="0"/>
      <w:marTop w:val="0"/>
      <w:marBottom w:val="0"/>
      <w:divBdr>
        <w:top w:val="none" w:sz="0" w:space="0" w:color="auto"/>
        <w:left w:val="none" w:sz="0" w:space="0" w:color="auto"/>
        <w:bottom w:val="none" w:sz="0" w:space="0" w:color="auto"/>
        <w:right w:val="none" w:sz="0" w:space="0" w:color="auto"/>
      </w:divBdr>
    </w:div>
    <w:div w:id="864712516">
      <w:bodyDiv w:val="1"/>
      <w:marLeft w:val="0"/>
      <w:marRight w:val="0"/>
      <w:marTop w:val="0"/>
      <w:marBottom w:val="0"/>
      <w:divBdr>
        <w:top w:val="none" w:sz="0" w:space="0" w:color="auto"/>
        <w:left w:val="none" w:sz="0" w:space="0" w:color="auto"/>
        <w:bottom w:val="none" w:sz="0" w:space="0" w:color="auto"/>
        <w:right w:val="none" w:sz="0" w:space="0" w:color="auto"/>
      </w:divBdr>
    </w:div>
    <w:div w:id="864756814">
      <w:bodyDiv w:val="1"/>
      <w:marLeft w:val="0"/>
      <w:marRight w:val="0"/>
      <w:marTop w:val="0"/>
      <w:marBottom w:val="0"/>
      <w:divBdr>
        <w:top w:val="none" w:sz="0" w:space="0" w:color="auto"/>
        <w:left w:val="none" w:sz="0" w:space="0" w:color="auto"/>
        <w:bottom w:val="none" w:sz="0" w:space="0" w:color="auto"/>
        <w:right w:val="none" w:sz="0" w:space="0" w:color="auto"/>
      </w:divBdr>
    </w:div>
    <w:div w:id="889460262">
      <w:bodyDiv w:val="1"/>
      <w:marLeft w:val="0"/>
      <w:marRight w:val="0"/>
      <w:marTop w:val="0"/>
      <w:marBottom w:val="0"/>
      <w:divBdr>
        <w:top w:val="none" w:sz="0" w:space="0" w:color="auto"/>
        <w:left w:val="none" w:sz="0" w:space="0" w:color="auto"/>
        <w:bottom w:val="none" w:sz="0" w:space="0" w:color="auto"/>
        <w:right w:val="none" w:sz="0" w:space="0" w:color="auto"/>
      </w:divBdr>
    </w:div>
    <w:div w:id="1010715868">
      <w:bodyDiv w:val="1"/>
      <w:marLeft w:val="0"/>
      <w:marRight w:val="0"/>
      <w:marTop w:val="0"/>
      <w:marBottom w:val="0"/>
      <w:divBdr>
        <w:top w:val="none" w:sz="0" w:space="0" w:color="auto"/>
        <w:left w:val="none" w:sz="0" w:space="0" w:color="auto"/>
        <w:bottom w:val="none" w:sz="0" w:space="0" w:color="auto"/>
        <w:right w:val="none" w:sz="0" w:space="0" w:color="auto"/>
      </w:divBdr>
    </w:div>
    <w:div w:id="1016272885">
      <w:bodyDiv w:val="1"/>
      <w:marLeft w:val="0"/>
      <w:marRight w:val="0"/>
      <w:marTop w:val="0"/>
      <w:marBottom w:val="0"/>
      <w:divBdr>
        <w:top w:val="none" w:sz="0" w:space="0" w:color="auto"/>
        <w:left w:val="none" w:sz="0" w:space="0" w:color="auto"/>
        <w:bottom w:val="none" w:sz="0" w:space="0" w:color="auto"/>
        <w:right w:val="none" w:sz="0" w:space="0" w:color="auto"/>
      </w:divBdr>
    </w:div>
    <w:div w:id="1040401858">
      <w:bodyDiv w:val="1"/>
      <w:marLeft w:val="0"/>
      <w:marRight w:val="0"/>
      <w:marTop w:val="0"/>
      <w:marBottom w:val="0"/>
      <w:divBdr>
        <w:top w:val="none" w:sz="0" w:space="0" w:color="auto"/>
        <w:left w:val="none" w:sz="0" w:space="0" w:color="auto"/>
        <w:bottom w:val="none" w:sz="0" w:space="0" w:color="auto"/>
        <w:right w:val="none" w:sz="0" w:space="0" w:color="auto"/>
      </w:divBdr>
    </w:div>
    <w:div w:id="1173959619">
      <w:bodyDiv w:val="1"/>
      <w:marLeft w:val="0"/>
      <w:marRight w:val="0"/>
      <w:marTop w:val="0"/>
      <w:marBottom w:val="0"/>
      <w:divBdr>
        <w:top w:val="none" w:sz="0" w:space="0" w:color="auto"/>
        <w:left w:val="none" w:sz="0" w:space="0" w:color="auto"/>
        <w:bottom w:val="none" w:sz="0" w:space="0" w:color="auto"/>
        <w:right w:val="none" w:sz="0" w:space="0" w:color="auto"/>
      </w:divBdr>
    </w:div>
    <w:div w:id="1258756278">
      <w:bodyDiv w:val="1"/>
      <w:marLeft w:val="0"/>
      <w:marRight w:val="0"/>
      <w:marTop w:val="0"/>
      <w:marBottom w:val="0"/>
      <w:divBdr>
        <w:top w:val="none" w:sz="0" w:space="0" w:color="auto"/>
        <w:left w:val="none" w:sz="0" w:space="0" w:color="auto"/>
        <w:bottom w:val="none" w:sz="0" w:space="0" w:color="auto"/>
        <w:right w:val="none" w:sz="0" w:space="0" w:color="auto"/>
      </w:divBdr>
    </w:div>
    <w:div w:id="1266307831">
      <w:bodyDiv w:val="1"/>
      <w:marLeft w:val="0"/>
      <w:marRight w:val="0"/>
      <w:marTop w:val="0"/>
      <w:marBottom w:val="0"/>
      <w:divBdr>
        <w:top w:val="none" w:sz="0" w:space="0" w:color="auto"/>
        <w:left w:val="none" w:sz="0" w:space="0" w:color="auto"/>
        <w:bottom w:val="none" w:sz="0" w:space="0" w:color="auto"/>
        <w:right w:val="none" w:sz="0" w:space="0" w:color="auto"/>
      </w:divBdr>
    </w:div>
    <w:div w:id="1277367986">
      <w:bodyDiv w:val="1"/>
      <w:marLeft w:val="0"/>
      <w:marRight w:val="0"/>
      <w:marTop w:val="0"/>
      <w:marBottom w:val="0"/>
      <w:divBdr>
        <w:top w:val="none" w:sz="0" w:space="0" w:color="auto"/>
        <w:left w:val="none" w:sz="0" w:space="0" w:color="auto"/>
        <w:bottom w:val="none" w:sz="0" w:space="0" w:color="auto"/>
        <w:right w:val="none" w:sz="0" w:space="0" w:color="auto"/>
      </w:divBdr>
    </w:div>
    <w:div w:id="1278760564">
      <w:bodyDiv w:val="1"/>
      <w:marLeft w:val="0"/>
      <w:marRight w:val="0"/>
      <w:marTop w:val="0"/>
      <w:marBottom w:val="0"/>
      <w:divBdr>
        <w:top w:val="none" w:sz="0" w:space="0" w:color="auto"/>
        <w:left w:val="none" w:sz="0" w:space="0" w:color="auto"/>
        <w:bottom w:val="none" w:sz="0" w:space="0" w:color="auto"/>
        <w:right w:val="none" w:sz="0" w:space="0" w:color="auto"/>
      </w:divBdr>
    </w:div>
    <w:div w:id="1280180848">
      <w:bodyDiv w:val="1"/>
      <w:marLeft w:val="0"/>
      <w:marRight w:val="0"/>
      <w:marTop w:val="0"/>
      <w:marBottom w:val="0"/>
      <w:divBdr>
        <w:top w:val="none" w:sz="0" w:space="0" w:color="auto"/>
        <w:left w:val="none" w:sz="0" w:space="0" w:color="auto"/>
        <w:bottom w:val="none" w:sz="0" w:space="0" w:color="auto"/>
        <w:right w:val="none" w:sz="0" w:space="0" w:color="auto"/>
      </w:divBdr>
    </w:div>
    <w:div w:id="1347243833">
      <w:bodyDiv w:val="1"/>
      <w:marLeft w:val="0"/>
      <w:marRight w:val="0"/>
      <w:marTop w:val="0"/>
      <w:marBottom w:val="0"/>
      <w:divBdr>
        <w:top w:val="none" w:sz="0" w:space="0" w:color="auto"/>
        <w:left w:val="none" w:sz="0" w:space="0" w:color="auto"/>
        <w:bottom w:val="none" w:sz="0" w:space="0" w:color="auto"/>
        <w:right w:val="none" w:sz="0" w:space="0" w:color="auto"/>
      </w:divBdr>
      <w:divsChild>
        <w:div w:id="803541933">
          <w:marLeft w:val="0"/>
          <w:marRight w:val="0"/>
          <w:marTop w:val="0"/>
          <w:marBottom w:val="0"/>
          <w:divBdr>
            <w:top w:val="none" w:sz="0" w:space="0" w:color="auto"/>
            <w:left w:val="none" w:sz="0" w:space="0" w:color="auto"/>
            <w:bottom w:val="none" w:sz="0" w:space="0" w:color="auto"/>
            <w:right w:val="none" w:sz="0" w:space="0" w:color="auto"/>
          </w:divBdr>
          <w:divsChild>
            <w:div w:id="112596164">
              <w:marLeft w:val="0"/>
              <w:marRight w:val="0"/>
              <w:marTop w:val="0"/>
              <w:marBottom w:val="0"/>
              <w:divBdr>
                <w:top w:val="none" w:sz="0" w:space="0" w:color="auto"/>
                <w:left w:val="none" w:sz="0" w:space="0" w:color="auto"/>
                <w:bottom w:val="none" w:sz="0" w:space="0" w:color="auto"/>
                <w:right w:val="none" w:sz="0" w:space="0" w:color="auto"/>
              </w:divBdr>
              <w:divsChild>
                <w:div w:id="6324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45578">
      <w:bodyDiv w:val="1"/>
      <w:marLeft w:val="0"/>
      <w:marRight w:val="0"/>
      <w:marTop w:val="0"/>
      <w:marBottom w:val="0"/>
      <w:divBdr>
        <w:top w:val="none" w:sz="0" w:space="0" w:color="auto"/>
        <w:left w:val="none" w:sz="0" w:space="0" w:color="auto"/>
        <w:bottom w:val="none" w:sz="0" w:space="0" w:color="auto"/>
        <w:right w:val="none" w:sz="0" w:space="0" w:color="auto"/>
      </w:divBdr>
    </w:div>
    <w:div w:id="1568488823">
      <w:bodyDiv w:val="1"/>
      <w:marLeft w:val="0"/>
      <w:marRight w:val="0"/>
      <w:marTop w:val="0"/>
      <w:marBottom w:val="0"/>
      <w:divBdr>
        <w:top w:val="none" w:sz="0" w:space="0" w:color="auto"/>
        <w:left w:val="none" w:sz="0" w:space="0" w:color="auto"/>
        <w:bottom w:val="none" w:sz="0" w:space="0" w:color="auto"/>
        <w:right w:val="none" w:sz="0" w:space="0" w:color="auto"/>
      </w:divBdr>
    </w:div>
    <w:div w:id="1575508957">
      <w:bodyDiv w:val="1"/>
      <w:marLeft w:val="0"/>
      <w:marRight w:val="0"/>
      <w:marTop w:val="0"/>
      <w:marBottom w:val="0"/>
      <w:divBdr>
        <w:top w:val="none" w:sz="0" w:space="0" w:color="auto"/>
        <w:left w:val="none" w:sz="0" w:space="0" w:color="auto"/>
        <w:bottom w:val="none" w:sz="0" w:space="0" w:color="auto"/>
        <w:right w:val="none" w:sz="0" w:space="0" w:color="auto"/>
      </w:divBdr>
    </w:div>
    <w:div w:id="1640956059">
      <w:bodyDiv w:val="1"/>
      <w:marLeft w:val="0"/>
      <w:marRight w:val="0"/>
      <w:marTop w:val="0"/>
      <w:marBottom w:val="0"/>
      <w:divBdr>
        <w:top w:val="none" w:sz="0" w:space="0" w:color="auto"/>
        <w:left w:val="none" w:sz="0" w:space="0" w:color="auto"/>
        <w:bottom w:val="none" w:sz="0" w:space="0" w:color="auto"/>
        <w:right w:val="none" w:sz="0" w:space="0" w:color="auto"/>
      </w:divBdr>
    </w:div>
    <w:div w:id="1696081911">
      <w:bodyDiv w:val="1"/>
      <w:marLeft w:val="0"/>
      <w:marRight w:val="0"/>
      <w:marTop w:val="0"/>
      <w:marBottom w:val="0"/>
      <w:divBdr>
        <w:top w:val="none" w:sz="0" w:space="0" w:color="auto"/>
        <w:left w:val="none" w:sz="0" w:space="0" w:color="auto"/>
        <w:bottom w:val="none" w:sz="0" w:space="0" w:color="auto"/>
        <w:right w:val="none" w:sz="0" w:space="0" w:color="auto"/>
      </w:divBdr>
    </w:div>
    <w:div w:id="1709406603">
      <w:bodyDiv w:val="1"/>
      <w:marLeft w:val="0"/>
      <w:marRight w:val="0"/>
      <w:marTop w:val="0"/>
      <w:marBottom w:val="0"/>
      <w:divBdr>
        <w:top w:val="none" w:sz="0" w:space="0" w:color="auto"/>
        <w:left w:val="none" w:sz="0" w:space="0" w:color="auto"/>
        <w:bottom w:val="none" w:sz="0" w:space="0" w:color="auto"/>
        <w:right w:val="none" w:sz="0" w:space="0" w:color="auto"/>
      </w:divBdr>
    </w:div>
    <w:div w:id="1906603469">
      <w:bodyDiv w:val="1"/>
      <w:marLeft w:val="0"/>
      <w:marRight w:val="0"/>
      <w:marTop w:val="0"/>
      <w:marBottom w:val="0"/>
      <w:divBdr>
        <w:top w:val="none" w:sz="0" w:space="0" w:color="auto"/>
        <w:left w:val="none" w:sz="0" w:space="0" w:color="auto"/>
        <w:bottom w:val="none" w:sz="0" w:space="0" w:color="auto"/>
        <w:right w:val="none" w:sz="0" w:space="0" w:color="auto"/>
      </w:divBdr>
    </w:div>
    <w:div w:id="1914074960">
      <w:bodyDiv w:val="1"/>
      <w:marLeft w:val="0"/>
      <w:marRight w:val="0"/>
      <w:marTop w:val="0"/>
      <w:marBottom w:val="0"/>
      <w:divBdr>
        <w:top w:val="none" w:sz="0" w:space="0" w:color="auto"/>
        <w:left w:val="none" w:sz="0" w:space="0" w:color="auto"/>
        <w:bottom w:val="none" w:sz="0" w:space="0" w:color="auto"/>
        <w:right w:val="none" w:sz="0" w:space="0" w:color="auto"/>
      </w:divBdr>
    </w:div>
    <w:div w:id="1947737562">
      <w:bodyDiv w:val="1"/>
      <w:marLeft w:val="0"/>
      <w:marRight w:val="0"/>
      <w:marTop w:val="0"/>
      <w:marBottom w:val="0"/>
      <w:divBdr>
        <w:top w:val="none" w:sz="0" w:space="0" w:color="auto"/>
        <w:left w:val="none" w:sz="0" w:space="0" w:color="auto"/>
        <w:bottom w:val="none" w:sz="0" w:space="0" w:color="auto"/>
        <w:right w:val="none" w:sz="0" w:space="0" w:color="auto"/>
      </w:divBdr>
    </w:div>
    <w:div w:id="1961913742">
      <w:bodyDiv w:val="1"/>
      <w:marLeft w:val="0"/>
      <w:marRight w:val="0"/>
      <w:marTop w:val="0"/>
      <w:marBottom w:val="0"/>
      <w:divBdr>
        <w:top w:val="none" w:sz="0" w:space="0" w:color="auto"/>
        <w:left w:val="none" w:sz="0" w:space="0" w:color="auto"/>
        <w:bottom w:val="none" w:sz="0" w:space="0" w:color="auto"/>
        <w:right w:val="none" w:sz="0" w:space="0" w:color="auto"/>
      </w:divBdr>
    </w:div>
    <w:div w:id="1987277343">
      <w:bodyDiv w:val="1"/>
      <w:marLeft w:val="0"/>
      <w:marRight w:val="0"/>
      <w:marTop w:val="0"/>
      <w:marBottom w:val="0"/>
      <w:divBdr>
        <w:top w:val="none" w:sz="0" w:space="0" w:color="auto"/>
        <w:left w:val="none" w:sz="0" w:space="0" w:color="auto"/>
        <w:bottom w:val="none" w:sz="0" w:space="0" w:color="auto"/>
        <w:right w:val="none" w:sz="0" w:space="0" w:color="auto"/>
      </w:divBdr>
    </w:div>
    <w:div w:id="1999722231">
      <w:bodyDiv w:val="1"/>
      <w:marLeft w:val="0"/>
      <w:marRight w:val="0"/>
      <w:marTop w:val="0"/>
      <w:marBottom w:val="0"/>
      <w:divBdr>
        <w:top w:val="none" w:sz="0" w:space="0" w:color="auto"/>
        <w:left w:val="none" w:sz="0" w:space="0" w:color="auto"/>
        <w:bottom w:val="none" w:sz="0" w:space="0" w:color="auto"/>
        <w:right w:val="none" w:sz="0" w:space="0" w:color="auto"/>
      </w:divBdr>
    </w:div>
    <w:div w:id="2015110113">
      <w:bodyDiv w:val="1"/>
      <w:marLeft w:val="0"/>
      <w:marRight w:val="0"/>
      <w:marTop w:val="0"/>
      <w:marBottom w:val="0"/>
      <w:divBdr>
        <w:top w:val="none" w:sz="0" w:space="0" w:color="auto"/>
        <w:left w:val="none" w:sz="0" w:space="0" w:color="auto"/>
        <w:bottom w:val="none" w:sz="0" w:space="0" w:color="auto"/>
        <w:right w:val="none" w:sz="0" w:space="0" w:color="auto"/>
      </w:divBdr>
    </w:div>
    <w:div w:id="2030908877">
      <w:bodyDiv w:val="1"/>
      <w:marLeft w:val="0"/>
      <w:marRight w:val="0"/>
      <w:marTop w:val="0"/>
      <w:marBottom w:val="0"/>
      <w:divBdr>
        <w:top w:val="none" w:sz="0" w:space="0" w:color="auto"/>
        <w:left w:val="none" w:sz="0" w:space="0" w:color="auto"/>
        <w:bottom w:val="none" w:sz="0" w:space="0" w:color="auto"/>
        <w:right w:val="none" w:sz="0" w:space="0" w:color="auto"/>
      </w:divBdr>
    </w:div>
    <w:div w:id="206629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80061-9440-4311-BB77-E5DBF0D78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15872</Words>
  <Characters>90472</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Vogl</dc:creator>
  <cp:keywords/>
  <dc:description/>
  <cp:lastModifiedBy>Yael Kahana</cp:lastModifiedBy>
  <cp:revision>2</cp:revision>
  <dcterms:created xsi:type="dcterms:W3CDTF">2023-11-14T11:35:00Z</dcterms:created>
  <dcterms:modified xsi:type="dcterms:W3CDTF">2023-11-14T11:35:00Z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87083ac9-358a-3aaa-a932-67309f6afcd9</vt:lpwstr>
  </property>
  <property fmtid="{D5CDD505-2E9C-101B-9397-08002B2CF9AE}" pid="4" name="Mendeley Citation Style_1">
    <vt:lpwstr>http://www.zotero.org/styles/immunity</vt:lpwstr>
  </property>
  <property fmtid="{D5CDD505-2E9C-101B-9397-08002B2CF9AE}" pid="5" name="Mendeley Recent Style Id 0_1">
    <vt:lpwstr>http://www.zotero.org/styles/american-sociological-association</vt:lpwstr>
  </property>
  <property fmtid="{D5CDD505-2E9C-101B-9397-08002B2CF9AE}" pid="6" name="Mendeley Recent Style Name 0_1">
    <vt:lpwstr>American Sociological Association</vt:lpwstr>
  </property>
  <property fmtid="{D5CDD505-2E9C-101B-9397-08002B2CF9AE}" pid="7" name="Mendeley Recent Style Id 1_1">
    <vt:lpwstr>http://www.zotero.org/styles/biotechnology-advances</vt:lpwstr>
  </property>
  <property fmtid="{D5CDD505-2E9C-101B-9397-08002B2CF9AE}" pid="8" name="Mendeley Recent Style Name 1_1">
    <vt:lpwstr>Biotechnology Advances</vt:lpwstr>
  </property>
  <property fmtid="{D5CDD505-2E9C-101B-9397-08002B2CF9AE}" pid="9" name="Mendeley Recent Style Id 2_1">
    <vt:lpwstr>http://www.zotero.org/styles/cell</vt:lpwstr>
  </property>
  <property fmtid="{D5CDD505-2E9C-101B-9397-08002B2CF9AE}" pid="10" name="Mendeley Recent Style Name 2_1">
    <vt:lpwstr>Cell</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(deprecated)</vt:lpwstr>
  </property>
  <property fmtid="{D5CDD505-2E9C-101B-9397-08002B2CF9AE}" pid="13" name="Mendeley Recent Style Id 4_1">
    <vt:lpwstr>http://www.zotero.org/styles/immunity</vt:lpwstr>
  </property>
  <property fmtid="{D5CDD505-2E9C-101B-9397-08002B2CF9AE}" pid="14" name="Mendeley Recent Style Name 4_1">
    <vt:lpwstr>Immunity</vt:lpwstr>
  </property>
  <property fmtid="{D5CDD505-2E9C-101B-9397-08002B2CF9AE}" pid="15" name="Mendeley Recent Style Id 5_1">
    <vt:lpwstr>http://www.zotero.org/styles/nature</vt:lpwstr>
  </property>
  <property fmtid="{D5CDD505-2E9C-101B-9397-08002B2CF9AE}" pid="16" name="Mendeley Recent Style Name 5_1">
    <vt:lpwstr>Nature</vt:lpwstr>
  </property>
  <property fmtid="{D5CDD505-2E9C-101B-9397-08002B2CF9AE}" pid="17" name="Mendeley Recent Style Id 6_1">
    <vt:lpwstr>http://www.zotero.org/styles/new-biotechnology</vt:lpwstr>
  </property>
  <property fmtid="{D5CDD505-2E9C-101B-9397-08002B2CF9AE}" pid="18" name="Mendeley Recent Style Name 6_1">
    <vt:lpwstr>New BIOTECHNOLOGY</vt:lpwstr>
  </property>
  <property fmtid="{D5CDD505-2E9C-101B-9397-08002B2CF9AE}" pid="19" name="Mendeley Recent Style Id 7_1">
    <vt:lpwstr>http://www.zotero.org/styles/science-advances</vt:lpwstr>
  </property>
  <property fmtid="{D5CDD505-2E9C-101B-9397-08002B2CF9AE}" pid="20" name="Mendeley Recent Style Name 7_1">
    <vt:lpwstr>Science Advances</vt:lpwstr>
  </property>
  <property fmtid="{D5CDD505-2E9C-101B-9397-08002B2CF9AE}" pid="21" name="Mendeley Recent Style Id 8_1">
    <vt:lpwstr>http://www.zotero.org/styles/science-translational-medicine</vt:lpwstr>
  </property>
  <property fmtid="{D5CDD505-2E9C-101B-9397-08002B2CF9AE}" pid="22" name="Mendeley Recent Style Name 8_1">
    <vt:lpwstr>Science Translational Medicine</vt:lpwstr>
  </property>
  <property fmtid="{D5CDD505-2E9C-101B-9397-08002B2CF9AE}" pid="23" name="Mendeley Recent Style Id 9_1">
    <vt:lpwstr>http://www.zotero.org/styles/springer-basic-brackets</vt:lpwstr>
  </property>
  <property fmtid="{D5CDD505-2E9C-101B-9397-08002B2CF9AE}" pid="24" name="Mendeley Recent Style Name 9_1">
    <vt:lpwstr>Springer - Basic (numeric, brackets)</vt:lpwstr>
  </property>
  <property fmtid="{D5CDD505-2E9C-101B-9397-08002B2CF9AE}" pid="25" name="MSIP_Label_549ac42a-3eb4-4074-b885-aea26bd6241e_Enabled">
    <vt:lpwstr>true</vt:lpwstr>
  </property>
  <property fmtid="{D5CDD505-2E9C-101B-9397-08002B2CF9AE}" pid="26" name="MSIP_Label_549ac42a-3eb4-4074-b885-aea26bd6241e_SetDate">
    <vt:lpwstr>2022-10-19T21:31:33Z</vt:lpwstr>
  </property>
  <property fmtid="{D5CDD505-2E9C-101B-9397-08002B2CF9AE}" pid="27" name="MSIP_Label_549ac42a-3eb4-4074-b885-aea26bd6241e_Method">
    <vt:lpwstr>Standard</vt:lpwstr>
  </property>
  <property fmtid="{D5CDD505-2E9C-101B-9397-08002B2CF9AE}" pid="28" name="MSIP_Label_549ac42a-3eb4-4074-b885-aea26bd6241e_Name">
    <vt:lpwstr>General Business</vt:lpwstr>
  </property>
  <property fmtid="{D5CDD505-2E9C-101B-9397-08002B2CF9AE}" pid="29" name="MSIP_Label_549ac42a-3eb4-4074-b885-aea26bd6241e_SiteId">
    <vt:lpwstr>9274ee3f-9425-4109-a27f-9fb15c10675d</vt:lpwstr>
  </property>
  <property fmtid="{D5CDD505-2E9C-101B-9397-08002B2CF9AE}" pid="30" name="MSIP_Label_549ac42a-3eb4-4074-b885-aea26bd6241e_ActionId">
    <vt:lpwstr>c89d0c1e-171a-4ae7-9425-3d27ef47ad4e</vt:lpwstr>
  </property>
  <property fmtid="{D5CDD505-2E9C-101B-9397-08002B2CF9AE}" pid="31" name="MSIP_Label_549ac42a-3eb4-4074-b885-aea26bd6241e_ContentBits">
    <vt:lpwstr>0</vt:lpwstr>
  </property>
</Properties>
</file>